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FC2DD" w14:textId="48D54195" w:rsidR="00D02866" w:rsidRPr="00D02866" w:rsidRDefault="00D02866" w:rsidP="00D02866">
      <w:pPr>
        <w:pStyle w:val="Listenabsatz"/>
        <w:keepNext/>
        <w:numPr>
          <w:ilvl w:val="0"/>
          <w:numId w:val="12"/>
        </w:numPr>
        <w:spacing w:before="120" w:after="120" w:line="360" w:lineRule="auto"/>
        <w:ind w:left="567" w:hanging="567"/>
        <w:contextualSpacing w:val="0"/>
        <w:jc w:val="both"/>
        <w:rPr>
          <w:rFonts w:ascii="Arial" w:hAnsi="Arial" w:cs="Arial"/>
          <w:b/>
          <w:bCs/>
          <w:color w:val="25282A"/>
        </w:rPr>
      </w:pPr>
      <w:r w:rsidRPr="00D02866">
        <w:rPr>
          <w:rFonts w:ascii="Arial" w:hAnsi="Arial" w:cs="Arial"/>
          <w:b/>
          <w:bCs/>
          <w:color w:val="25282A"/>
        </w:rPr>
        <w:t>Geltungsbereich und Zweck</w:t>
      </w:r>
    </w:p>
    <w:p w14:paraId="6464F14B" w14:textId="77777777" w:rsidR="00B90AA1" w:rsidRPr="00B90AA1" w:rsidRDefault="00B90AA1" w:rsidP="00B90AA1">
      <w:pPr>
        <w:spacing w:before="120" w:after="120" w:line="360" w:lineRule="auto"/>
        <w:jc w:val="both"/>
        <w:rPr>
          <w:rFonts w:ascii="Arial" w:hAnsi="Arial" w:cs="Arial"/>
          <w:color w:val="25282A"/>
        </w:rPr>
      </w:pPr>
      <w:r w:rsidRPr="00B90AA1">
        <w:rPr>
          <w:rFonts w:ascii="Arial" w:hAnsi="Arial" w:cs="Arial"/>
          <w:color w:val="25282A"/>
        </w:rPr>
        <w:t>Dieses Dokument enthält die plattformseitigen technischen und organisatorischen Mindestanforderungen an Anwendungen, die auf der GovTech-Plattform bereitgestellt, integriert, betrieben und unterstützt werden. Es gilt verfahrens- und fachanwendungsübergreifend für alle Anwendungen auf der GovTech-Plattform; ergänzende oder abweichende Festlegungen können ausschließlich im jeweiligen Leistungsblatt getroffen werden, soweit dieses Dokument dies ausdrücklich vorsieht.</w:t>
      </w:r>
    </w:p>
    <w:p w14:paraId="0F89B70C" w14:textId="77777777" w:rsidR="00B90AA1" w:rsidRPr="00B90AA1" w:rsidRDefault="00B90AA1" w:rsidP="00B90AA1">
      <w:pPr>
        <w:spacing w:before="120" w:after="120" w:line="360" w:lineRule="auto"/>
        <w:jc w:val="both"/>
        <w:rPr>
          <w:rFonts w:ascii="Arial" w:hAnsi="Arial" w:cs="Arial"/>
          <w:color w:val="25282A"/>
        </w:rPr>
      </w:pPr>
      <w:r w:rsidRPr="00B90AA1">
        <w:rPr>
          <w:rFonts w:ascii="Arial" w:hAnsi="Arial" w:cs="Arial"/>
          <w:color w:val="25282A"/>
        </w:rPr>
        <w:t>Ziel dieses Dokuments ist es, einen standardisierten, sicheren, interoperablen und nachhaltig betreibbaren Einsatz von Anwendungen auf der durch GovTech bereitgestellten Plattform sicherzustellen. Die Anforderungen konkretisieren insbesondere die Vorgaben zur technischen Betriebsaufnahme, zur Serviceerbringung, zu IT-Service-Management-Prozessen, zu Informationssicherheit und Datenschutz sowie zu Exit, Portabilität und Übergabe.</w:t>
      </w:r>
    </w:p>
    <w:p w14:paraId="4BDD8248" w14:textId="313FF0F2" w:rsidR="00D02866" w:rsidRPr="00D02866" w:rsidRDefault="00B90AA1" w:rsidP="00B90AA1">
      <w:pPr>
        <w:spacing w:before="120" w:after="120" w:line="360" w:lineRule="auto"/>
        <w:jc w:val="both"/>
        <w:rPr>
          <w:rFonts w:ascii="Arial" w:hAnsi="Arial" w:cs="Arial"/>
          <w:color w:val="25282A"/>
        </w:rPr>
      </w:pPr>
      <w:r w:rsidRPr="00B90AA1">
        <w:rPr>
          <w:rFonts w:ascii="Arial" w:hAnsi="Arial" w:cs="Arial"/>
          <w:color w:val="25282A"/>
        </w:rPr>
        <w:t>Fachlich-funktionale Anforderungen an den jeweiligen Leistungsgegenstand der Anwendung sind nicht Gegenstand dieses Dokuments. Sie ergeben sich ausschließlich aus dem jeweiligen Leistungsblatt.</w:t>
      </w:r>
    </w:p>
    <w:p w14:paraId="0CF75047" w14:textId="2F29B8CC" w:rsidR="00D02866" w:rsidRPr="00D02866" w:rsidRDefault="00D02866" w:rsidP="00D02866">
      <w:pPr>
        <w:pStyle w:val="Listenabsatz"/>
        <w:keepNext/>
        <w:numPr>
          <w:ilvl w:val="0"/>
          <w:numId w:val="12"/>
        </w:numPr>
        <w:spacing w:before="120" w:after="120" w:line="360" w:lineRule="auto"/>
        <w:ind w:left="567" w:hanging="567"/>
        <w:contextualSpacing w:val="0"/>
        <w:jc w:val="both"/>
        <w:rPr>
          <w:rFonts w:ascii="Arial" w:hAnsi="Arial" w:cs="Arial"/>
          <w:b/>
          <w:bCs/>
          <w:color w:val="25282A"/>
        </w:rPr>
      </w:pPr>
      <w:r w:rsidRPr="00D02866">
        <w:rPr>
          <w:rFonts w:ascii="Arial" w:hAnsi="Arial" w:cs="Arial"/>
          <w:b/>
          <w:bCs/>
          <w:color w:val="25282A"/>
        </w:rPr>
        <w:t>Gegenstand der technischen Mindestanforderungen</w:t>
      </w:r>
    </w:p>
    <w:p w14:paraId="06CF6C38" w14:textId="0F7661F4" w:rsidR="00D02866" w:rsidRPr="00D02866" w:rsidRDefault="00B90AA1" w:rsidP="00D02866">
      <w:pPr>
        <w:spacing w:before="120" w:after="120" w:line="360" w:lineRule="auto"/>
        <w:jc w:val="both"/>
        <w:rPr>
          <w:rFonts w:ascii="Arial" w:hAnsi="Arial" w:cs="Arial"/>
          <w:color w:val="25282A"/>
        </w:rPr>
      </w:pPr>
      <w:r w:rsidRPr="00B90AA1">
        <w:rPr>
          <w:rFonts w:ascii="Arial" w:hAnsi="Arial" w:cs="Arial"/>
          <w:color w:val="25282A"/>
        </w:rPr>
        <w:t>Gegenstand dieses Dokuments sind sämtliche Anforderungen an den technischen und organisatorischen Betrieb von Anwendungen auf der GovTech-Plattform. Hierzu zählen insbesondere Anforderungen an:</w:t>
      </w:r>
    </w:p>
    <w:p w14:paraId="67B69CC5" w14:textId="77777777" w:rsidR="00B90AA1" w:rsidRPr="00B90AA1" w:rsidRDefault="00B90AA1" w:rsidP="00B90AA1">
      <w:pPr>
        <w:numPr>
          <w:ilvl w:val="0"/>
          <w:numId w:val="4"/>
        </w:numPr>
        <w:spacing w:before="120" w:after="120" w:line="360" w:lineRule="auto"/>
        <w:ind w:left="567" w:hanging="567"/>
        <w:jc w:val="both"/>
        <w:rPr>
          <w:rFonts w:ascii="Arial" w:hAnsi="Arial" w:cs="Arial"/>
          <w:color w:val="25282A"/>
        </w:rPr>
      </w:pPr>
      <w:r w:rsidRPr="00B90AA1">
        <w:rPr>
          <w:rFonts w:ascii="Arial" w:hAnsi="Arial" w:cs="Arial"/>
          <w:color w:val="25282A"/>
        </w:rPr>
        <w:t>technische Betriebsaufnahme und Integrationsfähigkeit,</w:t>
      </w:r>
    </w:p>
    <w:p w14:paraId="63A92734" w14:textId="77777777" w:rsidR="00B90AA1" w:rsidRPr="00B90AA1" w:rsidRDefault="00B90AA1" w:rsidP="00B90AA1">
      <w:pPr>
        <w:numPr>
          <w:ilvl w:val="0"/>
          <w:numId w:val="4"/>
        </w:numPr>
        <w:spacing w:before="120" w:after="120" w:line="360" w:lineRule="auto"/>
        <w:ind w:left="567" w:hanging="567"/>
        <w:jc w:val="both"/>
        <w:rPr>
          <w:rFonts w:ascii="Arial" w:hAnsi="Arial" w:cs="Arial"/>
          <w:color w:val="25282A"/>
        </w:rPr>
      </w:pPr>
      <w:r w:rsidRPr="00B90AA1">
        <w:rPr>
          <w:rFonts w:ascii="Arial" w:hAnsi="Arial" w:cs="Arial"/>
          <w:color w:val="25282A"/>
        </w:rPr>
        <w:t>Cloudfähigkeit und Cloudagnostik,</w:t>
      </w:r>
    </w:p>
    <w:p w14:paraId="6B51D679" w14:textId="77777777" w:rsidR="00B90AA1" w:rsidRPr="00B90AA1" w:rsidRDefault="00B90AA1" w:rsidP="00B90AA1">
      <w:pPr>
        <w:numPr>
          <w:ilvl w:val="0"/>
          <w:numId w:val="4"/>
        </w:numPr>
        <w:spacing w:before="120" w:after="120" w:line="360" w:lineRule="auto"/>
        <w:ind w:left="567" w:hanging="567"/>
        <w:jc w:val="both"/>
        <w:rPr>
          <w:rFonts w:ascii="Arial" w:hAnsi="Arial" w:cs="Arial"/>
          <w:color w:val="25282A"/>
        </w:rPr>
      </w:pPr>
      <w:r w:rsidRPr="00B90AA1">
        <w:rPr>
          <w:rFonts w:ascii="Arial" w:hAnsi="Arial" w:cs="Arial"/>
          <w:color w:val="25282A"/>
        </w:rPr>
        <w:t xml:space="preserve">Containerisierung und </w:t>
      </w:r>
      <w:proofErr w:type="spellStart"/>
      <w:r w:rsidRPr="00B90AA1">
        <w:rPr>
          <w:rFonts w:ascii="Arial" w:hAnsi="Arial" w:cs="Arial"/>
          <w:color w:val="25282A"/>
        </w:rPr>
        <w:t>Deployment</w:t>
      </w:r>
      <w:proofErr w:type="spellEnd"/>
      <w:r w:rsidRPr="00B90AA1">
        <w:rPr>
          <w:rFonts w:ascii="Arial" w:hAnsi="Arial" w:cs="Arial"/>
          <w:color w:val="25282A"/>
        </w:rPr>
        <w:t>,</w:t>
      </w:r>
    </w:p>
    <w:p w14:paraId="3D9DBEF7" w14:textId="77777777" w:rsidR="00B90AA1" w:rsidRPr="00B90AA1" w:rsidRDefault="00B90AA1" w:rsidP="00B90AA1">
      <w:pPr>
        <w:numPr>
          <w:ilvl w:val="0"/>
          <w:numId w:val="4"/>
        </w:numPr>
        <w:spacing w:before="120" w:after="120" w:line="360" w:lineRule="auto"/>
        <w:ind w:left="567" w:hanging="567"/>
        <w:jc w:val="both"/>
        <w:rPr>
          <w:rFonts w:ascii="Arial" w:hAnsi="Arial" w:cs="Arial"/>
          <w:color w:val="25282A"/>
        </w:rPr>
      </w:pPr>
      <w:r w:rsidRPr="00B90AA1">
        <w:rPr>
          <w:rFonts w:ascii="Arial" w:hAnsi="Arial" w:cs="Arial"/>
          <w:color w:val="25282A"/>
        </w:rPr>
        <w:t>Identitäts- und Zugriffsmanagement,</w:t>
      </w:r>
    </w:p>
    <w:p w14:paraId="67B3EFDB" w14:textId="77777777" w:rsidR="00B90AA1" w:rsidRPr="00B90AA1" w:rsidRDefault="00B90AA1" w:rsidP="00B90AA1">
      <w:pPr>
        <w:numPr>
          <w:ilvl w:val="0"/>
          <w:numId w:val="4"/>
        </w:numPr>
        <w:spacing w:before="120" w:after="120" w:line="360" w:lineRule="auto"/>
        <w:ind w:left="567" w:hanging="567"/>
        <w:jc w:val="both"/>
        <w:rPr>
          <w:rFonts w:ascii="Arial" w:hAnsi="Arial" w:cs="Arial"/>
          <w:color w:val="25282A"/>
        </w:rPr>
      </w:pPr>
      <w:r w:rsidRPr="00B90AA1">
        <w:rPr>
          <w:rFonts w:ascii="Arial" w:hAnsi="Arial" w:cs="Arial"/>
          <w:color w:val="25282A"/>
        </w:rPr>
        <w:t>Datenhaltung und Persistenz,</w:t>
      </w:r>
    </w:p>
    <w:p w14:paraId="7D059480" w14:textId="77777777" w:rsidR="00B90AA1" w:rsidRPr="00B90AA1" w:rsidRDefault="00B90AA1" w:rsidP="00B90AA1">
      <w:pPr>
        <w:numPr>
          <w:ilvl w:val="0"/>
          <w:numId w:val="4"/>
        </w:numPr>
        <w:spacing w:before="120" w:after="120" w:line="360" w:lineRule="auto"/>
        <w:ind w:left="567" w:hanging="567"/>
        <w:jc w:val="both"/>
        <w:rPr>
          <w:rFonts w:ascii="Arial" w:hAnsi="Arial" w:cs="Arial"/>
          <w:color w:val="25282A"/>
        </w:rPr>
      </w:pPr>
      <w:r w:rsidRPr="00B90AA1">
        <w:rPr>
          <w:rFonts w:ascii="Arial" w:hAnsi="Arial" w:cs="Arial"/>
          <w:color w:val="25282A"/>
        </w:rPr>
        <w:t>Verfügbarkeit, Resilienz und Skalierung,</w:t>
      </w:r>
    </w:p>
    <w:p w14:paraId="5A1EDA93" w14:textId="77777777" w:rsidR="00B90AA1" w:rsidRPr="00B90AA1" w:rsidRDefault="00B90AA1" w:rsidP="00B90AA1">
      <w:pPr>
        <w:numPr>
          <w:ilvl w:val="0"/>
          <w:numId w:val="4"/>
        </w:numPr>
        <w:spacing w:before="120" w:after="120" w:line="360" w:lineRule="auto"/>
        <w:ind w:left="567" w:hanging="567"/>
        <w:jc w:val="both"/>
        <w:rPr>
          <w:rFonts w:ascii="Arial" w:hAnsi="Arial" w:cs="Arial"/>
          <w:color w:val="25282A"/>
        </w:rPr>
      </w:pPr>
      <w:proofErr w:type="spellStart"/>
      <w:r w:rsidRPr="00B90AA1">
        <w:rPr>
          <w:rFonts w:ascii="Arial" w:hAnsi="Arial" w:cs="Arial"/>
          <w:color w:val="25282A"/>
        </w:rPr>
        <w:t>Observability</w:t>
      </w:r>
      <w:proofErr w:type="spellEnd"/>
      <w:r w:rsidRPr="00B90AA1">
        <w:rPr>
          <w:rFonts w:ascii="Arial" w:hAnsi="Arial" w:cs="Arial"/>
          <w:color w:val="25282A"/>
        </w:rPr>
        <w:t xml:space="preserve"> und Supportfähigkeit,</w:t>
      </w:r>
    </w:p>
    <w:p w14:paraId="6CB41EC7" w14:textId="77777777" w:rsidR="00B90AA1" w:rsidRPr="00B90AA1" w:rsidRDefault="00B90AA1" w:rsidP="00B90AA1">
      <w:pPr>
        <w:numPr>
          <w:ilvl w:val="0"/>
          <w:numId w:val="4"/>
        </w:numPr>
        <w:spacing w:before="120" w:after="120" w:line="360" w:lineRule="auto"/>
        <w:ind w:left="567" w:hanging="567"/>
        <w:jc w:val="both"/>
        <w:rPr>
          <w:rFonts w:ascii="Arial" w:hAnsi="Arial" w:cs="Arial"/>
          <w:color w:val="25282A"/>
        </w:rPr>
      </w:pPr>
      <w:r w:rsidRPr="00B90AA1">
        <w:rPr>
          <w:rFonts w:ascii="Arial" w:hAnsi="Arial" w:cs="Arial"/>
          <w:color w:val="25282A"/>
        </w:rPr>
        <w:t>Service Levels und Support,</w:t>
      </w:r>
    </w:p>
    <w:p w14:paraId="550DAF47" w14:textId="77777777" w:rsidR="00B90AA1" w:rsidRPr="00B90AA1" w:rsidRDefault="00B90AA1" w:rsidP="00B90AA1">
      <w:pPr>
        <w:numPr>
          <w:ilvl w:val="0"/>
          <w:numId w:val="4"/>
        </w:numPr>
        <w:spacing w:before="120" w:after="120" w:line="360" w:lineRule="auto"/>
        <w:ind w:left="567" w:hanging="567"/>
        <w:jc w:val="both"/>
        <w:rPr>
          <w:rFonts w:ascii="Arial" w:hAnsi="Arial" w:cs="Arial"/>
          <w:color w:val="25282A"/>
        </w:rPr>
      </w:pPr>
      <w:r w:rsidRPr="00B90AA1">
        <w:rPr>
          <w:rFonts w:ascii="Arial" w:hAnsi="Arial" w:cs="Arial"/>
          <w:color w:val="25282A"/>
        </w:rPr>
        <w:t>ITSM-Prozesse und Support-Schnittstellen,</w:t>
      </w:r>
    </w:p>
    <w:p w14:paraId="090A21B8" w14:textId="77777777" w:rsidR="00B90AA1" w:rsidRPr="00B90AA1" w:rsidRDefault="00B90AA1" w:rsidP="00B90AA1">
      <w:pPr>
        <w:numPr>
          <w:ilvl w:val="0"/>
          <w:numId w:val="4"/>
        </w:numPr>
        <w:spacing w:before="120" w:after="120" w:line="360" w:lineRule="auto"/>
        <w:ind w:left="567" w:hanging="567"/>
        <w:jc w:val="both"/>
        <w:rPr>
          <w:rFonts w:ascii="Arial" w:hAnsi="Arial" w:cs="Arial"/>
          <w:color w:val="25282A"/>
        </w:rPr>
      </w:pPr>
      <w:r w:rsidRPr="00B90AA1">
        <w:rPr>
          <w:rFonts w:ascii="Arial" w:hAnsi="Arial" w:cs="Arial"/>
          <w:color w:val="25282A"/>
        </w:rPr>
        <w:t>Security, Compliance und Datenschutz,</w:t>
      </w:r>
    </w:p>
    <w:p w14:paraId="64BC4B09" w14:textId="77777777" w:rsidR="00B90AA1" w:rsidRPr="00B90AA1" w:rsidRDefault="00B90AA1" w:rsidP="00B90AA1">
      <w:pPr>
        <w:numPr>
          <w:ilvl w:val="0"/>
          <w:numId w:val="4"/>
        </w:numPr>
        <w:spacing w:before="120" w:after="120" w:line="360" w:lineRule="auto"/>
        <w:ind w:left="567" w:hanging="567"/>
        <w:jc w:val="both"/>
        <w:rPr>
          <w:rFonts w:ascii="Arial" w:hAnsi="Arial" w:cs="Arial"/>
          <w:color w:val="25282A"/>
        </w:rPr>
      </w:pPr>
      <w:r w:rsidRPr="00B90AA1">
        <w:rPr>
          <w:rFonts w:ascii="Arial" w:hAnsi="Arial" w:cs="Arial"/>
          <w:color w:val="25282A"/>
        </w:rPr>
        <w:lastRenderedPageBreak/>
        <w:t>Dokumentation und Nachweise,</w:t>
      </w:r>
    </w:p>
    <w:p w14:paraId="150A7028" w14:textId="26978524" w:rsidR="00D02866" w:rsidRPr="00D02866" w:rsidRDefault="00B90AA1" w:rsidP="00B90AA1">
      <w:pPr>
        <w:numPr>
          <w:ilvl w:val="0"/>
          <w:numId w:val="4"/>
        </w:numPr>
        <w:spacing w:before="120" w:after="120" w:line="360" w:lineRule="auto"/>
        <w:ind w:left="567" w:hanging="567"/>
        <w:jc w:val="both"/>
        <w:rPr>
          <w:rFonts w:ascii="Arial" w:hAnsi="Arial" w:cs="Arial"/>
          <w:color w:val="25282A"/>
        </w:rPr>
      </w:pPr>
      <w:r w:rsidRPr="00B90AA1">
        <w:rPr>
          <w:rFonts w:ascii="Arial" w:hAnsi="Arial" w:cs="Arial"/>
          <w:color w:val="25282A"/>
        </w:rPr>
        <w:t>Exit, Portabilität und Übergabe</w:t>
      </w:r>
    </w:p>
    <w:p w14:paraId="2A786916" w14:textId="2A227EA8" w:rsidR="00D02866" w:rsidRPr="00D02866" w:rsidRDefault="00D02866" w:rsidP="00D02866">
      <w:pPr>
        <w:pStyle w:val="Listenabsatz"/>
        <w:keepNext/>
        <w:numPr>
          <w:ilvl w:val="0"/>
          <w:numId w:val="12"/>
        </w:numPr>
        <w:spacing w:before="120" w:after="120" w:line="360" w:lineRule="auto"/>
        <w:ind w:left="567" w:hanging="567"/>
        <w:contextualSpacing w:val="0"/>
        <w:jc w:val="both"/>
        <w:rPr>
          <w:rFonts w:ascii="Arial" w:hAnsi="Arial" w:cs="Arial"/>
          <w:b/>
          <w:bCs/>
          <w:color w:val="25282A"/>
        </w:rPr>
      </w:pPr>
      <w:r w:rsidRPr="00D02866">
        <w:rPr>
          <w:rFonts w:ascii="Arial" w:hAnsi="Arial" w:cs="Arial"/>
          <w:b/>
          <w:bCs/>
          <w:color w:val="25282A"/>
        </w:rPr>
        <w:t>Betriebsaufnahme und technische Integration</w:t>
      </w:r>
    </w:p>
    <w:p w14:paraId="68643746" w14:textId="3ADC751A" w:rsidR="00D02866" w:rsidRPr="00D02866" w:rsidRDefault="00D02866" w:rsidP="00D02866">
      <w:pPr>
        <w:pStyle w:val="Listenabsatz"/>
        <w:keepNext/>
        <w:numPr>
          <w:ilvl w:val="1"/>
          <w:numId w:val="12"/>
        </w:numPr>
        <w:spacing w:before="120" w:after="120" w:line="360" w:lineRule="auto"/>
        <w:ind w:left="567" w:hanging="567"/>
        <w:contextualSpacing w:val="0"/>
        <w:jc w:val="both"/>
        <w:rPr>
          <w:rFonts w:ascii="Arial" w:hAnsi="Arial" w:cs="Arial"/>
          <w:b/>
          <w:bCs/>
          <w:color w:val="25282A"/>
        </w:rPr>
      </w:pPr>
      <w:r w:rsidRPr="00D02866">
        <w:rPr>
          <w:rFonts w:ascii="Arial" w:hAnsi="Arial" w:cs="Arial"/>
          <w:b/>
          <w:bCs/>
          <w:color w:val="25282A"/>
        </w:rPr>
        <w:t>Rollenverteilung und Zugriff</w:t>
      </w:r>
    </w:p>
    <w:p w14:paraId="67A960CD" w14:textId="527D6E17" w:rsidR="00D02866" w:rsidRPr="00D02866" w:rsidRDefault="00B90AA1" w:rsidP="00D02866">
      <w:pPr>
        <w:spacing w:before="120" w:after="120" w:line="360" w:lineRule="auto"/>
        <w:jc w:val="both"/>
        <w:rPr>
          <w:rFonts w:ascii="Arial" w:hAnsi="Arial" w:cs="Arial"/>
          <w:color w:val="25282A"/>
        </w:rPr>
      </w:pPr>
      <w:r w:rsidRPr="00B90AA1">
        <w:rPr>
          <w:rFonts w:ascii="Arial" w:hAnsi="Arial" w:cs="Arial"/>
          <w:color w:val="25282A"/>
        </w:rPr>
        <w:t xml:space="preserve">GovTech stellt die Plattform, Multi-Cloud-Umgebungen und Basisdienste – insbesondere Identity &amp; Access Management, </w:t>
      </w:r>
      <w:proofErr w:type="spellStart"/>
      <w:r w:rsidRPr="00B90AA1">
        <w:rPr>
          <w:rFonts w:ascii="Arial" w:hAnsi="Arial" w:cs="Arial"/>
          <w:color w:val="25282A"/>
        </w:rPr>
        <w:t>Logging</w:t>
      </w:r>
      <w:proofErr w:type="spellEnd"/>
      <w:r w:rsidRPr="00B90AA1">
        <w:rPr>
          <w:rFonts w:ascii="Arial" w:hAnsi="Arial" w:cs="Arial"/>
          <w:color w:val="25282A"/>
        </w:rPr>
        <w:t xml:space="preserve">, Monitoring und Netzwerk – bereit. Der Anbieter liefert </w:t>
      </w:r>
      <w:r w:rsidR="009652D2">
        <w:rPr>
          <w:rFonts w:ascii="Arial" w:hAnsi="Arial" w:cs="Arial"/>
          <w:color w:val="25282A"/>
        </w:rPr>
        <w:t>Cloud-fähige</w:t>
      </w:r>
      <w:r w:rsidRPr="00B90AA1">
        <w:rPr>
          <w:rFonts w:ascii="Arial" w:hAnsi="Arial" w:cs="Arial"/>
          <w:color w:val="25282A"/>
        </w:rPr>
        <w:t xml:space="preserve"> Applikationsartefakte, pflegt die Software durch Updates und Patches und</w:t>
      </w:r>
      <w:r w:rsidR="00D025FF">
        <w:rPr>
          <w:rFonts w:ascii="Arial" w:hAnsi="Arial" w:cs="Arial"/>
          <w:color w:val="25282A"/>
        </w:rPr>
        <w:t xml:space="preserve"> übernimmt übergreifend</w:t>
      </w:r>
      <w:r w:rsidRPr="00B90AA1">
        <w:rPr>
          <w:rFonts w:ascii="Arial" w:hAnsi="Arial" w:cs="Arial"/>
          <w:color w:val="25282A"/>
        </w:rPr>
        <w:t xml:space="preserve"> </w:t>
      </w:r>
      <w:r w:rsidR="00D025FF">
        <w:rPr>
          <w:rFonts w:ascii="Arial" w:hAnsi="Arial" w:cs="Arial"/>
          <w:color w:val="25282A"/>
        </w:rPr>
        <w:t>den Anwendungs</w:t>
      </w:r>
      <w:r w:rsidR="00961820">
        <w:rPr>
          <w:rFonts w:ascii="Arial" w:hAnsi="Arial" w:cs="Arial"/>
          <w:color w:val="25282A"/>
        </w:rPr>
        <w:t>b</w:t>
      </w:r>
      <w:r w:rsidRPr="00B90AA1">
        <w:rPr>
          <w:rFonts w:ascii="Arial" w:hAnsi="Arial" w:cs="Arial"/>
          <w:color w:val="25282A"/>
        </w:rPr>
        <w:t>etrieb und Support gemäß den vereinbarten Service Levels und ITSM-Prozessen. Ein direkter Administrationszugriff des Anbieters auf Cloud</w:t>
      </w:r>
      <w:r w:rsidR="006C65E1">
        <w:rPr>
          <w:rFonts w:ascii="Arial" w:hAnsi="Arial" w:cs="Arial"/>
          <w:color w:val="25282A"/>
        </w:rPr>
        <w:t>anbieter</w:t>
      </w:r>
      <w:r w:rsidRPr="00B90AA1">
        <w:rPr>
          <w:rFonts w:ascii="Arial" w:hAnsi="Arial" w:cs="Arial"/>
          <w:color w:val="25282A"/>
        </w:rPr>
        <w:t xml:space="preserve">- </w:t>
      </w:r>
      <w:r w:rsidR="00653156">
        <w:rPr>
          <w:rFonts w:ascii="Arial" w:hAnsi="Arial" w:cs="Arial"/>
          <w:color w:val="25282A"/>
        </w:rPr>
        <w:t>bzw.</w:t>
      </w:r>
      <w:r w:rsidR="00653156" w:rsidRPr="00B90AA1">
        <w:rPr>
          <w:rFonts w:ascii="Arial" w:hAnsi="Arial" w:cs="Arial"/>
          <w:color w:val="25282A"/>
        </w:rPr>
        <w:t xml:space="preserve"> </w:t>
      </w:r>
      <w:r w:rsidR="00B27CEA">
        <w:rPr>
          <w:rFonts w:ascii="Arial" w:hAnsi="Arial" w:cs="Arial"/>
          <w:color w:val="25282A"/>
        </w:rPr>
        <w:t>Infrastruktur</w:t>
      </w:r>
      <w:r w:rsidRPr="00B90AA1">
        <w:rPr>
          <w:rFonts w:ascii="Arial" w:hAnsi="Arial" w:cs="Arial"/>
          <w:color w:val="25282A"/>
        </w:rPr>
        <w:t>-Ebene ist ausgeschlossen.</w:t>
      </w:r>
    </w:p>
    <w:p w14:paraId="67F399A6" w14:textId="2032CC37" w:rsidR="00D02866" w:rsidRPr="00D02866" w:rsidRDefault="00D02866" w:rsidP="00D02866">
      <w:pPr>
        <w:pStyle w:val="Listenabsatz"/>
        <w:keepNext/>
        <w:numPr>
          <w:ilvl w:val="1"/>
          <w:numId w:val="12"/>
        </w:numPr>
        <w:spacing w:before="120" w:after="120" w:line="360" w:lineRule="auto"/>
        <w:ind w:left="567" w:hanging="567"/>
        <w:contextualSpacing w:val="0"/>
        <w:jc w:val="both"/>
        <w:rPr>
          <w:rFonts w:ascii="Arial" w:hAnsi="Arial" w:cs="Arial"/>
          <w:b/>
          <w:bCs/>
          <w:color w:val="25282A"/>
        </w:rPr>
      </w:pPr>
      <w:r w:rsidRPr="00D02866">
        <w:rPr>
          <w:rFonts w:ascii="Arial" w:hAnsi="Arial" w:cs="Arial"/>
          <w:b/>
          <w:bCs/>
          <w:color w:val="25282A"/>
        </w:rPr>
        <w:t>Cloudfähigkeit und Cloudagnostik</w:t>
      </w:r>
    </w:p>
    <w:p w14:paraId="27321179" w14:textId="07358D16" w:rsidR="00B90AA1" w:rsidRPr="00B90AA1" w:rsidRDefault="00111A04" w:rsidP="00B90AA1">
      <w:pPr>
        <w:spacing w:before="120" w:after="120" w:line="360" w:lineRule="auto"/>
        <w:jc w:val="both"/>
        <w:rPr>
          <w:rFonts w:ascii="Arial" w:hAnsi="Arial" w:cs="Arial"/>
          <w:color w:val="25282A"/>
        </w:rPr>
      </w:pPr>
      <w:r>
        <w:rPr>
          <w:rFonts w:ascii="Arial" w:hAnsi="Arial" w:cs="Arial"/>
          <w:color w:val="25282A"/>
        </w:rPr>
        <w:t>Der</w:t>
      </w:r>
      <w:r w:rsidR="00DA12AE">
        <w:rPr>
          <w:rFonts w:ascii="Arial" w:hAnsi="Arial" w:cs="Arial"/>
          <w:color w:val="25282A"/>
        </w:rPr>
        <w:t xml:space="preserve"> Anbieter </w:t>
      </w:r>
      <w:r>
        <w:rPr>
          <w:rFonts w:ascii="Arial" w:hAnsi="Arial" w:cs="Arial"/>
          <w:color w:val="25282A"/>
        </w:rPr>
        <w:t xml:space="preserve">muss </w:t>
      </w:r>
      <w:r w:rsidR="00DA12AE">
        <w:rPr>
          <w:rFonts w:ascii="Arial" w:hAnsi="Arial" w:cs="Arial"/>
          <w:color w:val="25282A"/>
        </w:rPr>
        <w:t xml:space="preserve">den Anwendungsbetrieb </w:t>
      </w:r>
      <w:r>
        <w:rPr>
          <w:rFonts w:ascii="Arial" w:hAnsi="Arial" w:cs="Arial"/>
          <w:color w:val="25282A"/>
        </w:rPr>
        <w:t xml:space="preserve">auf </w:t>
      </w:r>
      <w:r w:rsidR="0023657E">
        <w:rPr>
          <w:rFonts w:ascii="Arial" w:hAnsi="Arial" w:cs="Arial"/>
          <w:color w:val="25282A"/>
        </w:rPr>
        <w:t xml:space="preserve">der Plattform des </w:t>
      </w:r>
      <w:r w:rsidR="002452F2">
        <w:rPr>
          <w:rFonts w:ascii="Arial" w:hAnsi="Arial" w:cs="Arial"/>
          <w:color w:val="25282A"/>
        </w:rPr>
        <w:t>Auftraggebers</w:t>
      </w:r>
      <w:r w:rsidR="0023657E">
        <w:rPr>
          <w:rFonts w:ascii="Arial" w:hAnsi="Arial" w:cs="Arial"/>
          <w:color w:val="25282A"/>
        </w:rPr>
        <w:t xml:space="preserve"> ausführen können.</w:t>
      </w:r>
      <w:r w:rsidR="0046592A">
        <w:rPr>
          <w:rFonts w:ascii="Arial" w:hAnsi="Arial" w:cs="Arial"/>
          <w:color w:val="25282A"/>
        </w:rPr>
        <w:t xml:space="preserve"> </w:t>
      </w:r>
      <w:r w:rsidR="002452F2">
        <w:rPr>
          <w:rFonts w:ascii="Arial" w:hAnsi="Arial" w:cs="Arial"/>
          <w:color w:val="25282A"/>
        </w:rPr>
        <w:t xml:space="preserve">Es </w:t>
      </w:r>
      <w:r w:rsidR="00D84B22">
        <w:rPr>
          <w:rFonts w:ascii="Arial" w:hAnsi="Arial" w:cs="Arial"/>
          <w:color w:val="25282A"/>
        </w:rPr>
        <w:t>dürfen</w:t>
      </w:r>
      <w:r w:rsidR="00B90AA1" w:rsidRPr="00B90AA1">
        <w:rPr>
          <w:rFonts w:ascii="Arial" w:hAnsi="Arial" w:cs="Arial"/>
          <w:color w:val="25282A"/>
        </w:rPr>
        <w:t xml:space="preserve"> keine zwingenden Abhängigkeiten von </w:t>
      </w:r>
      <w:proofErr w:type="spellStart"/>
      <w:r w:rsidR="000C5C09">
        <w:rPr>
          <w:rFonts w:ascii="Arial" w:hAnsi="Arial" w:cs="Arial"/>
          <w:color w:val="25282A"/>
        </w:rPr>
        <w:t>cloud</w:t>
      </w:r>
      <w:proofErr w:type="spellEnd"/>
      <w:r w:rsidR="000C5C09">
        <w:rPr>
          <w:rFonts w:ascii="Arial" w:hAnsi="Arial" w:cs="Arial"/>
          <w:color w:val="25282A"/>
        </w:rPr>
        <w:t>-</w:t>
      </w:r>
      <w:r w:rsidR="00B90AA1" w:rsidRPr="00B90AA1">
        <w:rPr>
          <w:rFonts w:ascii="Arial" w:hAnsi="Arial" w:cs="Arial"/>
          <w:color w:val="25282A"/>
        </w:rPr>
        <w:t xml:space="preserve">provider-spezifischen </w:t>
      </w:r>
      <w:proofErr w:type="spellStart"/>
      <w:r w:rsidR="00B90AA1" w:rsidRPr="00B90AA1">
        <w:rPr>
          <w:rFonts w:ascii="Arial" w:hAnsi="Arial" w:cs="Arial"/>
          <w:color w:val="25282A"/>
        </w:rPr>
        <w:t>Managed</w:t>
      </w:r>
      <w:proofErr w:type="spellEnd"/>
      <w:r w:rsidR="00B90AA1" w:rsidRPr="00B90AA1">
        <w:rPr>
          <w:rFonts w:ascii="Arial" w:hAnsi="Arial" w:cs="Arial"/>
          <w:color w:val="25282A"/>
        </w:rPr>
        <w:t xml:space="preserve"> Services oder proprietären Cloud-APIs aufweisen.</w:t>
      </w:r>
    </w:p>
    <w:p w14:paraId="2F758649" w14:textId="3E55D209" w:rsidR="00D02866" w:rsidRPr="00D02866" w:rsidRDefault="00B90AA1" w:rsidP="00B90AA1">
      <w:pPr>
        <w:spacing w:before="120" w:after="120" w:line="360" w:lineRule="auto"/>
        <w:jc w:val="both"/>
        <w:rPr>
          <w:rFonts w:ascii="Arial" w:hAnsi="Arial" w:cs="Arial"/>
          <w:color w:val="25282A"/>
        </w:rPr>
      </w:pPr>
      <w:r w:rsidRPr="00B90AA1">
        <w:rPr>
          <w:rFonts w:ascii="Arial" w:hAnsi="Arial" w:cs="Arial"/>
          <w:color w:val="25282A"/>
        </w:rPr>
        <w:t xml:space="preserve">Die Anwendung muss in </w:t>
      </w:r>
      <w:r w:rsidR="003D04D1">
        <w:rPr>
          <w:rFonts w:ascii="Arial" w:hAnsi="Arial" w:cs="Arial"/>
          <w:color w:val="25282A"/>
        </w:rPr>
        <w:t>einer</w:t>
      </w:r>
      <w:r w:rsidR="00B550A0">
        <w:rPr>
          <w:rFonts w:ascii="Arial" w:hAnsi="Arial" w:cs="Arial"/>
          <w:color w:val="25282A"/>
        </w:rPr>
        <w:t xml:space="preserve"> der vier angebotenen </w:t>
      </w:r>
      <w:proofErr w:type="spellStart"/>
      <w:r w:rsidR="00B550A0">
        <w:rPr>
          <w:rFonts w:ascii="Arial" w:hAnsi="Arial" w:cs="Arial"/>
          <w:color w:val="25282A"/>
        </w:rPr>
        <w:t>Runtime</w:t>
      </w:r>
      <w:proofErr w:type="spellEnd"/>
      <w:r w:rsidR="00B550A0">
        <w:rPr>
          <w:rFonts w:ascii="Arial" w:hAnsi="Arial" w:cs="Arial"/>
          <w:color w:val="25282A"/>
        </w:rPr>
        <w:t>-Environments</w:t>
      </w:r>
      <w:r w:rsidRPr="00B90AA1">
        <w:rPr>
          <w:rFonts w:ascii="Arial" w:hAnsi="Arial" w:cs="Arial"/>
          <w:color w:val="25282A"/>
        </w:rPr>
        <w:t xml:space="preserve"> ohne Code-Anpassungen lauffähig sein. Eine Parametrisierung ist zulässig. Verbindungen </w:t>
      </w:r>
      <w:r w:rsidR="009462B5">
        <w:rPr>
          <w:rFonts w:ascii="Arial" w:hAnsi="Arial" w:cs="Arial"/>
          <w:color w:val="25282A"/>
        </w:rPr>
        <w:t xml:space="preserve">zu externen Services </w:t>
      </w:r>
      <w:r w:rsidRPr="00B90AA1">
        <w:rPr>
          <w:rFonts w:ascii="Arial" w:hAnsi="Arial" w:cs="Arial"/>
          <w:color w:val="25282A"/>
        </w:rPr>
        <w:t>sind vollständig zu dokumentieren und bedürfen der Freigabe durch GovTech.</w:t>
      </w:r>
    </w:p>
    <w:p w14:paraId="4AAD719D" w14:textId="6E6F6DAC" w:rsidR="00D02866" w:rsidRPr="00D02866" w:rsidRDefault="00D02866" w:rsidP="00D02866">
      <w:pPr>
        <w:pStyle w:val="Listenabsatz"/>
        <w:keepNext/>
        <w:numPr>
          <w:ilvl w:val="1"/>
          <w:numId w:val="12"/>
        </w:numPr>
        <w:spacing w:before="120" w:after="120" w:line="360" w:lineRule="auto"/>
        <w:ind w:left="567" w:hanging="567"/>
        <w:contextualSpacing w:val="0"/>
        <w:jc w:val="both"/>
        <w:rPr>
          <w:rFonts w:ascii="Arial" w:hAnsi="Arial" w:cs="Arial"/>
          <w:b/>
          <w:bCs/>
          <w:color w:val="25282A"/>
        </w:rPr>
      </w:pPr>
      <w:r w:rsidRPr="00D02866">
        <w:rPr>
          <w:rFonts w:ascii="Arial" w:hAnsi="Arial" w:cs="Arial"/>
          <w:b/>
          <w:bCs/>
          <w:color w:val="25282A"/>
        </w:rPr>
        <w:t xml:space="preserve"> </w:t>
      </w:r>
      <w:proofErr w:type="spellStart"/>
      <w:r w:rsidRPr="00D02866">
        <w:rPr>
          <w:rFonts w:ascii="Arial" w:hAnsi="Arial" w:cs="Arial"/>
          <w:b/>
          <w:bCs/>
          <w:color w:val="25282A"/>
        </w:rPr>
        <w:t>Deployment</w:t>
      </w:r>
      <w:proofErr w:type="spellEnd"/>
    </w:p>
    <w:p w14:paraId="443C5E0F" w14:textId="60BB1CFF" w:rsidR="003F621A" w:rsidRDefault="00B90AA1" w:rsidP="00B90AA1">
      <w:pPr>
        <w:spacing w:before="120" w:after="120" w:line="360" w:lineRule="auto"/>
        <w:jc w:val="both"/>
        <w:rPr>
          <w:rFonts w:ascii="Arial" w:hAnsi="Arial" w:cs="Arial"/>
          <w:color w:val="25282A"/>
        </w:rPr>
      </w:pPr>
      <w:r w:rsidRPr="00B90AA1">
        <w:rPr>
          <w:rFonts w:ascii="Arial" w:hAnsi="Arial" w:cs="Arial"/>
          <w:color w:val="25282A"/>
        </w:rPr>
        <w:t xml:space="preserve">Der Anbieter muss </w:t>
      </w:r>
      <w:r w:rsidR="005E4DBD">
        <w:rPr>
          <w:rFonts w:ascii="Arial" w:hAnsi="Arial" w:cs="Arial"/>
          <w:color w:val="25282A"/>
        </w:rPr>
        <w:t xml:space="preserve">eine der folgenden vier </w:t>
      </w:r>
      <w:proofErr w:type="spellStart"/>
      <w:r w:rsidR="00490E42">
        <w:rPr>
          <w:rFonts w:ascii="Arial" w:hAnsi="Arial" w:cs="Arial"/>
          <w:color w:val="25282A"/>
        </w:rPr>
        <w:t>Runtime</w:t>
      </w:r>
      <w:proofErr w:type="spellEnd"/>
      <w:r w:rsidR="00490E42">
        <w:rPr>
          <w:rFonts w:ascii="Arial" w:hAnsi="Arial" w:cs="Arial"/>
          <w:color w:val="25282A"/>
        </w:rPr>
        <w:t>-Environments unterstützen</w:t>
      </w:r>
      <w:r w:rsidR="003F621A">
        <w:rPr>
          <w:rFonts w:ascii="Arial" w:hAnsi="Arial" w:cs="Arial"/>
          <w:color w:val="25282A"/>
        </w:rPr>
        <w:t>:</w:t>
      </w:r>
    </w:p>
    <w:p w14:paraId="7EAD87E2" w14:textId="3C074FD1" w:rsidR="00B90AA1" w:rsidRDefault="003F621A" w:rsidP="003F621A">
      <w:pPr>
        <w:pStyle w:val="Listenabsatz"/>
        <w:numPr>
          <w:ilvl w:val="0"/>
          <w:numId w:val="13"/>
        </w:numPr>
        <w:spacing w:before="120" w:after="120" w:line="360" w:lineRule="auto"/>
        <w:jc w:val="both"/>
        <w:rPr>
          <w:rFonts w:ascii="Arial" w:hAnsi="Arial" w:cs="Arial"/>
          <w:color w:val="25282A"/>
        </w:rPr>
      </w:pPr>
      <w:proofErr w:type="spellStart"/>
      <w:r>
        <w:rPr>
          <w:rFonts w:ascii="Arial" w:hAnsi="Arial" w:cs="Arial"/>
          <w:color w:val="25282A"/>
        </w:rPr>
        <w:t>Kubernetes</w:t>
      </w:r>
      <w:proofErr w:type="spellEnd"/>
      <w:r w:rsidR="00FE13A4">
        <w:rPr>
          <w:rFonts w:ascii="Arial" w:hAnsi="Arial" w:cs="Arial"/>
          <w:color w:val="25282A"/>
        </w:rPr>
        <w:t>/</w:t>
      </w:r>
      <w:r w:rsidR="008D77F9">
        <w:rPr>
          <w:rFonts w:ascii="Arial" w:hAnsi="Arial" w:cs="Arial"/>
          <w:color w:val="25282A"/>
        </w:rPr>
        <w:t>Cloud Native</w:t>
      </w:r>
    </w:p>
    <w:p w14:paraId="34D0DCA0" w14:textId="525290BB" w:rsidR="00DF3470" w:rsidRDefault="008D77F9" w:rsidP="003F621A">
      <w:pPr>
        <w:pStyle w:val="Listenabsatz"/>
        <w:numPr>
          <w:ilvl w:val="0"/>
          <w:numId w:val="13"/>
        </w:numPr>
        <w:spacing w:before="120" w:after="120" w:line="360" w:lineRule="auto"/>
        <w:jc w:val="both"/>
        <w:rPr>
          <w:rFonts w:ascii="Arial" w:hAnsi="Arial" w:cs="Arial"/>
          <w:color w:val="25282A"/>
        </w:rPr>
      </w:pPr>
      <w:proofErr w:type="spellStart"/>
      <w:r>
        <w:rPr>
          <w:rFonts w:ascii="Arial" w:hAnsi="Arial" w:cs="Arial"/>
          <w:color w:val="25282A"/>
        </w:rPr>
        <w:t>Managed</w:t>
      </w:r>
      <w:proofErr w:type="spellEnd"/>
      <w:r>
        <w:rPr>
          <w:rFonts w:ascii="Arial" w:hAnsi="Arial" w:cs="Arial"/>
          <w:color w:val="25282A"/>
        </w:rPr>
        <w:t xml:space="preserve"> </w:t>
      </w:r>
      <w:r w:rsidR="00DF3470">
        <w:rPr>
          <w:rFonts w:ascii="Arial" w:hAnsi="Arial" w:cs="Arial"/>
          <w:color w:val="25282A"/>
        </w:rPr>
        <w:t>Container</w:t>
      </w:r>
      <w:r w:rsidR="007B0729">
        <w:rPr>
          <w:rFonts w:ascii="Arial" w:hAnsi="Arial" w:cs="Arial"/>
          <w:color w:val="25282A"/>
        </w:rPr>
        <w:t>s</w:t>
      </w:r>
    </w:p>
    <w:p w14:paraId="58700BDB" w14:textId="11540CFF" w:rsidR="00DF3470" w:rsidRDefault="00DF3470" w:rsidP="003F621A">
      <w:pPr>
        <w:pStyle w:val="Listenabsatz"/>
        <w:numPr>
          <w:ilvl w:val="0"/>
          <w:numId w:val="13"/>
        </w:numPr>
        <w:spacing w:before="120" w:after="120" w:line="360" w:lineRule="auto"/>
        <w:jc w:val="both"/>
        <w:rPr>
          <w:rFonts w:ascii="Arial" w:hAnsi="Arial" w:cs="Arial"/>
          <w:color w:val="25282A"/>
        </w:rPr>
      </w:pPr>
      <w:r>
        <w:rPr>
          <w:rFonts w:ascii="Arial" w:hAnsi="Arial" w:cs="Arial"/>
          <w:color w:val="25282A"/>
        </w:rPr>
        <w:t>Virtual Machine</w:t>
      </w:r>
      <w:r w:rsidR="007B0729">
        <w:rPr>
          <w:rFonts w:ascii="Arial" w:hAnsi="Arial" w:cs="Arial"/>
          <w:color w:val="25282A"/>
        </w:rPr>
        <w:t>s</w:t>
      </w:r>
    </w:p>
    <w:p w14:paraId="580C167A" w14:textId="16DEF23C" w:rsidR="00DF3470" w:rsidRPr="00D44756" w:rsidRDefault="008D77F9" w:rsidP="00D44756">
      <w:pPr>
        <w:pStyle w:val="Listenabsatz"/>
        <w:numPr>
          <w:ilvl w:val="0"/>
          <w:numId w:val="13"/>
        </w:numPr>
        <w:spacing w:before="120" w:after="120" w:line="360" w:lineRule="auto"/>
        <w:jc w:val="both"/>
        <w:rPr>
          <w:rFonts w:ascii="Arial" w:hAnsi="Arial" w:cs="Arial"/>
          <w:color w:val="25282A"/>
        </w:rPr>
      </w:pPr>
      <w:proofErr w:type="spellStart"/>
      <w:r>
        <w:rPr>
          <w:rFonts w:ascii="Arial" w:hAnsi="Arial" w:cs="Arial"/>
          <w:color w:val="25282A"/>
        </w:rPr>
        <w:t>Codesphere</w:t>
      </w:r>
      <w:proofErr w:type="spellEnd"/>
      <w:r>
        <w:rPr>
          <w:rFonts w:ascii="Arial" w:hAnsi="Arial" w:cs="Arial"/>
          <w:color w:val="25282A"/>
        </w:rPr>
        <w:t xml:space="preserve"> </w:t>
      </w:r>
      <w:proofErr w:type="spellStart"/>
      <w:r w:rsidR="005308E2">
        <w:rPr>
          <w:rFonts w:ascii="Arial" w:hAnsi="Arial" w:cs="Arial"/>
          <w:color w:val="25282A"/>
        </w:rPr>
        <w:t>Reactives</w:t>
      </w:r>
      <w:proofErr w:type="spellEnd"/>
    </w:p>
    <w:p w14:paraId="5DC6BEF2" w14:textId="1151B489" w:rsidR="00D02866" w:rsidRPr="00D02866" w:rsidRDefault="00B90AA1" w:rsidP="00B90AA1">
      <w:pPr>
        <w:spacing w:before="120" w:after="120" w:line="360" w:lineRule="auto"/>
        <w:jc w:val="both"/>
        <w:rPr>
          <w:rFonts w:ascii="Arial" w:hAnsi="Arial" w:cs="Arial"/>
          <w:color w:val="25282A"/>
        </w:rPr>
      </w:pPr>
      <w:proofErr w:type="spellStart"/>
      <w:r w:rsidRPr="00B90AA1">
        <w:rPr>
          <w:rFonts w:ascii="Arial" w:hAnsi="Arial" w:cs="Arial"/>
          <w:color w:val="25282A"/>
        </w:rPr>
        <w:t>Deployments</w:t>
      </w:r>
      <w:proofErr w:type="spellEnd"/>
      <w:r w:rsidRPr="00B90AA1">
        <w:rPr>
          <w:rFonts w:ascii="Arial" w:hAnsi="Arial" w:cs="Arial"/>
          <w:color w:val="25282A"/>
        </w:rPr>
        <w:t>, Upgrades und Rollbacks müssen automatisiert durchführbar sein. Die Anwendung darf keine manuellen Eingriffe auf Hostsystemen erfordern. Konfigurationen müssen ausschließlich über Parameter, Values, CRDs oder Umgebungsvariablen erfolgen. Secrets dürfen weder im Container-Image noch im Quellcode abgelegt sein.</w:t>
      </w:r>
    </w:p>
    <w:p w14:paraId="2C984339" w14:textId="33D51A57" w:rsidR="00D02866" w:rsidRPr="00D02866" w:rsidRDefault="00D02866" w:rsidP="00D02866">
      <w:pPr>
        <w:pStyle w:val="Listenabsatz"/>
        <w:keepNext/>
        <w:numPr>
          <w:ilvl w:val="1"/>
          <w:numId w:val="12"/>
        </w:numPr>
        <w:spacing w:before="120" w:after="120" w:line="360" w:lineRule="auto"/>
        <w:ind w:left="567" w:hanging="567"/>
        <w:contextualSpacing w:val="0"/>
        <w:jc w:val="both"/>
        <w:rPr>
          <w:rFonts w:ascii="Arial" w:hAnsi="Arial" w:cs="Arial"/>
          <w:b/>
          <w:bCs/>
          <w:color w:val="25282A"/>
        </w:rPr>
      </w:pPr>
      <w:r w:rsidRPr="00D02866">
        <w:rPr>
          <w:rFonts w:ascii="Arial" w:hAnsi="Arial" w:cs="Arial"/>
          <w:b/>
          <w:bCs/>
          <w:color w:val="25282A"/>
        </w:rPr>
        <w:t>Identitäts- und Zugriffsmanagement</w:t>
      </w:r>
    </w:p>
    <w:p w14:paraId="1DE8EBE0" w14:textId="205AF370" w:rsidR="00B90AA1" w:rsidRPr="00B90AA1" w:rsidRDefault="00B90AA1" w:rsidP="00B90AA1">
      <w:pPr>
        <w:spacing w:before="120" w:after="120" w:line="360" w:lineRule="auto"/>
        <w:jc w:val="both"/>
        <w:rPr>
          <w:rFonts w:ascii="Arial" w:hAnsi="Arial" w:cs="Arial"/>
          <w:color w:val="25282A"/>
        </w:rPr>
      </w:pPr>
      <w:r w:rsidRPr="00B90AA1">
        <w:rPr>
          <w:rFonts w:ascii="Arial" w:hAnsi="Arial" w:cs="Arial"/>
          <w:color w:val="25282A"/>
        </w:rPr>
        <w:t xml:space="preserve">Die Anwendung </w:t>
      </w:r>
      <w:r w:rsidR="009350C3">
        <w:rPr>
          <w:rFonts w:ascii="Arial" w:hAnsi="Arial" w:cs="Arial"/>
          <w:color w:val="25282A"/>
        </w:rPr>
        <w:t>hat den plattformübergreifenden Service „Identity and Accessmanage</w:t>
      </w:r>
      <w:r w:rsidR="009E649A">
        <w:rPr>
          <w:rFonts w:ascii="Arial" w:hAnsi="Arial" w:cs="Arial"/>
          <w:color w:val="25282A"/>
        </w:rPr>
        <w:t>men</w:t>
      </w:r>
      <w:r w:rsidR="009350C3">
        <w:rPr>
          <w:rFonts w:ascii="Arial" w:hAnsi="Arial" w:cs="Arial"/>
          <w:color w:val="25282A"/>
        </w:rPr>
        <w:t xml:space="preserve">t“ zu nutzen und </w:t>
      </w:r>
      <w:r w:rsidRPr="00B90AA1">
        <w:rPr>
          <w:rFonts w:ascii="Arial" w:hAnsi="Arial" w:cs="Arial"/>
          <w:color w:val="25282A"/>
        </w:rPr>
        <w:t xml:space="preserve">muss </w:t>
      </w:r>
      <w:r w:rsidR="009350C3">
        <w:rPr>
          <w:rFonts w:ascii="Arial" w:hAnsi="Arial" w:cs="Arial"/>
          <w:color w:val="25282A"/>
        </w:rPr>
        <w:t xml:space="preserve">daher </w:t>
      </w:r>
      <w:r w:rsidRPr="00B90AA1">
        <w:rPr>
          <w:rFonts w:ascii="Arial" w:hAnsi="Arial" w:cs="Arial"/>
          <w:color w:val="25282A"/>
        </w:rPr>
        <w:t xml:space="preserve">eine OIDC-/OAuth2-Integration einschließlich Claims-Mapping und </w:t>
      </w:r>
      <w:r w:rsidRPr="00B90AA1">
        <w:rPr>
          <w:rFonts w:ascii="Arial" w:hAnsi="Arial" w:cs="Arial"/>
          <w:color w:val="25282A"/>
        </w:rPr>
        <w:lastRenderedPageBreak/>
        <w:t>Logout unterstützen. Das Rollen- und Berechtigungskonzept ist nachvollziehbar zu dokumentieren.</w:t>
      </w:r>
    </w:p>
    <w:p w14:paraId="0932D67E" w14:textId="0BADA31B" w:rsidR="00D02866" w:rsidRPr="00D02866" w:rsidRDefault="00B90AA1" w:rsidP="00B90AA1">
      <w:pPr>
        <w:spacing w:before="120" w:after="120" w:line="360" w:lineRule="auto"/>
        <w:jc w:val="both"/>
        <w:rPr>
          <w:rFonts w:ascii="Arial" w:hAnsi="Arial" w:cs="Arial"/>
          <w:color w:val="25282A"/>
        </w:rPr>
      </w:pPr>
      <w:r w:rsidRPr="00B90AA1">
        <w:rPr>
          <w:rFonts w:ascii="Arial" w:hAnsi="Arial" w:cs="Arial"/>
          <w:color w:val="25282A"/>
        </w:rPr>
        <w:t>Sofern fachlich erforderlich, soll eine Directory-Anbindung, insbesondere an AD/LDAP, über die Plattformmechanismen ermöglicht werden. Ob und in welchem Umfang eine Directory-Anbindung für eine konkrete Fachanwendung benötigt wird, wird im jeweiligen Leistungsblatt festgelegt.</w:t>
      </w:r>
    </w:p>
    <w:p w14:paraId="7E5B4B87" w14:textId="1DE7EB46" w:rsidR="00D02866" w:rsidRPr="00D02866" w:rsidRDefault="00D02866" w:rsidP="00D02866">
      <w:pPr>
        <w:pStyle w:val="Listenabsatz"/>
        <w:keepNext/>
        <w:numPr>
          <w:ilvl w:val="1"/>
          <w:numId w:val="12"/>
        </w:numPr>
        <w:spacing w:before="120" w:after="120" w:line="360" w:lineRule="auto"/>
        <w:ind w:left="567" w:hanging="567"/>
        <w:contextualSpacing w:val="0"/>
        <w:jc w:val="both"/>
        <w:rPr>
          <w:rFonts w:ascii="Arial" w:hAnsi="Arial" w:cs="Arial"/>
          <w:b/>
          <w:bCs/>
          <w:color w:val="25282A"/>
        </w:rPr>
      </w:pPr>
      <w:r w:rsidRPr="00D02866">
        <w:rPr>
          <w:rFonts w:ascii="Arial" w:hAnsi="Arial" w:cs="Arial"/>
          <w:b/>
          <w:bCs/>
          <w:color w:val="25282A"/>
        </w:rPr>
        <w:t>Datenhaltung und Persistenz</w:t>
      </w:r>
    </w:p>
    <w:p w14:paraId="6F5B9723" w14:textId="7B6A6EEE" w:rsidR="00AE167E" w:rsidRPr="00B90AA1" w:rsidRDefault="00AE167E" w:rsidP="00B90AA1">
      <w:pPr>
        <w:spacing w:before="120" w:after="120" w:line="360" w:lineRule="auto"/>
        <w:jc w:val="both"/>
        <w:rPr>
          <w:rFonts w:ascii="Arial" w:hAnsi="Arial" w:cs="Arial"/>
          <w:color w:val="25282A"/>
        </w:rPr>
      </w:pPr>
      <w:r w:rsidRPr="00AE167E">
        <w:rPr>
          <w:rFonts w:ascii="Arial" w:hAnsi="Arial" w:cs="Arial"/>
          <w:color w:val="25282A"/>
        </w:rPr>
        <w:t xml:space="preserve">Die </w:t>
      </w:r>
      <w:r>
        <w:rPr>
          <w:rFonts w:ascii="Arial" w:hAnsi="Arial" w:cs="Arial"/>
          <w:color w:val="25282A"/>
        </w:rPr>
        <w:t>P</w:t>
      </w:r>
      <w:r w:rsidRPr="00AE167E">
        <w:rPr>
          <w:rFonts w:ascii="Arial" w:hAnsi="Arial" w:cs="Arial"/>
          <w:color w:val="25282A"/>
        </w:rPr>
        <w:t>lattform bietet eine Auswahl an Datenbanken (z.B. PostgreSQL</w:t>
      </w:r>
      <w:r w:rsidR="00E119BC">
        <w:rPr>
          <w:rFonts w:ascii="Arial" w:hAnsi="Arial" w:cs="Arial"/>
          <w:color w:val="25282A"/>
        </w:rPr>
        <w:t>)</w:t>
      </w:r>
      <w:r w:rsidRPr="00AE167E">
        <w:rPr>
          <w:rFonts w:ascii="Arial" w:hAnsi="Arial" w:cs="Arial"/>
          <w:color w:val="25282A"/>
        </w:rPr>
        <w:t xml:space="preserve"> in Form von </w:t>
      </w:r>
      <w:proofErr w:type="spellStart"/>
      <w:r w:rsidRPr="00AE167E">
        <w:rPr>
          <w:rFonts w:ascii="Arial" w:hAnsi="Arial" w:cs="Arial"/>
          <w:color w:val="25282A"/>
        </w:rPr>
        <w:t>Managed</w:t>
      </w:r>
      <w:proofErr w:type="spellEnd"/>
      <w:r w:rsidRPr="00AE167E">
        <w:rPr>
          <w:rFonts w:ascii="Arial" w:hAnsi="Arial" w:cs="Arial"/>
          <w:color w:val="25282A"/>
        </w:rPr>
        <w:t xml:space="preserve"> Services. Andere Datenbanken können als Teil der Anwendung genutzt werden, sofern sie vom Anbieter selbst gemanag</w:t>
      </w:r>
      <w:r w:rsidR="00E14ED3">
        <w:rPr>
          <w:rFonts w:ascii="Arial" w:hAnsi="Arial" w:cs="Arial"/>
          <w:color w:val="25282A"/>
        </w:rPr>
        <w:t>t</w:t>
      </w:r>
      <w:r w:rsidRPr="00AE167E">
        <w:rPr>
          <w:rFonts w:ascii="Arial" w:hAnsi="Arial" w:cs="Arial"/>
          <w:color w:val="25282A"/>
        </w:rPr>
        <w:t xml:space="preserve"> werden.</w:t>
      </w:r>
    </w:p>
    <w:p w14:paraId="766A8F75" w14:textId="01F2B02B" w:rsidR="00D02866" w:rsidRPr="00D02866" w:rsidRDefault="00B90AA1" w:rsidP="00B90AA1">
      <w:pPr>
        <w:spacing w:before="120" w:after="120" w:line="360" w:lineRule="auto"/>
        <w:jc w:val="both"/>
        <w:rPr>
          <w:rFonts w:ascii="Arial" w:hAnsi="Arial" w:cs="Arial"/>
          <w:color w:val="25282A"/>
        </w:rPr>
      </w:pPr>
      <w:r w:rsidRPr="00B90AA1">
        <w:rPr>
          <w:rFonts w:ascii="Arial" w:hAnsi="Arial" w:cs="Arial"/>
          <w:color w:val="25282A"/>
        </w:rPr>
        <w:t>Backup- und Restore-Fähigkeiten müssen gewährleistet</w:t>
      </w:r>
      <w:r w:rsidR="00AD409E">
        <w:rPr>
          <w:rFonts w:ascii="Arial" w:hAnsi="Arial" w:cs="Arial"/>
          <w:color w:val="25282A"/>
        </w:rPr>
        <w:t>, regelmäßig durchgeführt</w:t>
      </w:r>
      <w:r w:rsidR="00D30E6B">
        <w:rPr>
          <w:rFonts w:ascii="Arial" w:hAnsi="Arial" w:cs="Arial"/>
          <w:color w:val="25282A"/>
        </w:rPr>
        <w:t xml:space="preserve"> </w:t>
      </w:r>
      <w:r w:rsidRPr="00B90AA1">
        <w:rPr>
          <w:rFonts w:ascii="Arial" w:hAnsi="Arial" w:cs="Arial"/>
          <w:color w:val="25282A"/>
        </w:rPr>
        <w:t xml:space="preserve">und nachvollziehbar dokumentiert </w:t>
      </w:r>
      <w:r w:rsidR="001A5FDB">
        <w:rPr>
          <w:rFonts w:ascii="Arial" w:hAnsi="Arial" w:cs="Arial"/>
          <w:color w:val="25282A"/>
        </w:rPr>
        <w:t>werden</w:t>
      </w:r>
      <w:r w:rsidRPr="00B90AA1">
        <w:rPr>
          <w:rFonts w:ascii="Arial" w:hAnsi="Arial" w:cs="Arial"/>
          <w:color w:val="25282A"/>
        </w:rPr>
        <w:t>. Migrationsmechanismen, insbesondere für Datenbankschemata, sind automatisierbar auszuführen und zu dokumentieren.</w:t>
      </w:r>
    </w:p>
    <w:p w14:paraId="710E76D5" w14:textId="3ED87B69" w:rsidR="00D02866" w:rsidRPr="00D02866" w:rsidRDefault="00D02866" w:rsidP="00D02866">
      <w:pPr>
        <w:pStyle w:val="Listenabsatz"/>
        <w:keepNext/>
        <w:numPr>
          <w:ilvl w:val="1"/>
          <w:numId w:val="12"/>
        </w:numPr>
        <w:spacing w:before="120" w:after="120" w:line="360" w:lineRule="auto"/>
        <w:ind w:left="567" w:hanging="567"/>
        <w:contextualSpacing w:val="0"/>
        <w:jc w:val="both"/>
        <w:rPr>
          <w:rFonts w:ascii="Arial" w:hAnsi="Arial" w:cs="Arial"/>
          <w:b/>
          <w:bCs/>
          <w:color w:val="25282A"/>
        </w:rPr>
      </w:pPr>
      <w:r w:rsidRPr="00D02866">
        <w:rPr>
          <w:rFonts w:ascii="Arial" w:hAnsi="Arial" w:cs="Arial"/>
          <w:b/>
          <w:bCs/>
          <w:color w:val="25282A"/>
        </w:rPr>
        <w:t>Verfügbarkeit, Resilienz und Skalierung</w:t>
      </w:r>
    </w:p>
    <w:p w14:paraId="72985DD1" w14:textId="03571FD4" w:rsidR="00B90AA1" w:rsidRPr="00B90AA1" w:rsidRDefault="00B90AA1" w:rsidP="00B90AA1">
      <w:pPr>
        <w:spacing w:before="120" w:after="120" w:line="360" w:lineRule="auto"/>
        <w:jc w:val="both"/>
        <w:rPr>
          <w:rFonts w:ascii="Arial" w:hAnsi="Arial" w:cs="Arial"/>
          <w:color w:val="25282A"/>
        </w:rPr>
      </w:pPr>
      <w:r w:rsidRPr="00B90AA1">
        <w:rPr>
          <w:rFonts w:ascii="Arial" w:hAnsi="Arial" w:cs="Arial"/>
          <w:color w:val="25282A"/>
        </w:rPr>
        <w:t xml:space="preserve">Für kritische Komponenten dürfen keine Single Points </w:t>
      </w:r>
      <w:proofErr w:type="spellStart"/>
      <w:r w:rsidRPr="00B90AA1">
        <w:rPr>
          <w:rFonts w:ascii="Arial" w:hAnsi="Arial" w:cs="Arial"/>
          <w:color w:val="25282A"/>
        </w:rPr>
        <w:t>of</w:t>
      </w:r>
      <w:proofErr w:type="spellEnd"/>
      <w:r w:rsidRPr="00B90AA1">
        <w:rPr>
          <w:rFonts w:ascii="Arial" w:hAnsi="Arial" w:cs="Arial"/>
          <w:color w:val="25282A"/>
        </w:rPr>
        <w:t xml:space="preserve"> </w:t>
      </w:r>
      <w:proofErr w:type="spellStart"/>
      <w:r w:rsidRPr="00B90AA1">
        <w:rPr>
          <w:rFonts w:ascii="Arial" w:hAnsi="Arial" w:cs="Arial"/>
          <w:color w:val="25282A"/>
        </w:rPr>
        <w:t>Failure</w:t>
      </w:r>
      <w:proofErr w:type="spellEnd"/>
      <w:r w:rsidRPr="00B90AA1">
        <w:rPr>
          <w:rFonts w:ascii="Arial" w:hAnsi="Arial" w:cs="Arial"/>
          <w:color w:val="25282A"/>
        </w:rPr>
        <w:t xml:space="preserve"> bestehen. Die Anwendung muss robust gegenüber Pod-Neustarts, Rolling Updates und Node-Ausfällen sein. Zustandsbehaftete Komponenten sind entsprechend resilient auszulegen.</w:t>
      </w:r>
    </w:p>
    <w:p w14:paraId="20B82BEA" w14:textId="5A541A01" w:rsidR="00D02866" w:rsidRPr="00D02866" w:rsidRDefault="00B90AA1" w:rsidP="00B90AA1">
      <w:pPr>
        <w:spacing w:before="120" w:after="120" w:line="360" w:lineRule="auto"/>
        <w:jc w:val="both"/>
        <w:rPr>
          <w:rFonts w:ascii="Arial" w:hAnsi="Arial" w:cs="Arial"/>
          <w:color w:val="25282A"/>
        </w:rPr>
      </w:pPr>
      <w:proofErr w:type="spellStart"/>
      <w:r w:rsidRPr="00B90AA1">
        <w:rPr>
          <w:rFonts w:ascii="Arial" w:hAnsi="Arial" w:cs="Arial"/>
          <w:color w:val="25282A"/>
        </w:rPr>
        <w:t>Requests</w:t>
      </w:r>
      <w:proofErr w:type="spellEnd"/>
      <w:r w:rsidRPr="00B90AA1">
        <w:rPr>
          <w:rFonts w:ascii="Arial" w:hAnsi="Arial" w:cs="Arial"/>
          <w:color w:val="25282A"/>
        </w:rPr>
        <w:t xml:space="preserve">, Limits, Skalierungsgrenzen sowie Empfehlungen für Horizontal Pod </w:t>
      </w:r>
      <w:proofErr w:type="spellStart"/>
      <w:r w:rsidRPr="00B90AA1">
        <w:rPr>
          <w:rFonts w:ascii="Arial" w:hAnsi="Arial" w:cs="Arial"/>
          <w:color w:val="25282A"/>
        </w:rPr>
        <w:t>Autoscaling</w:t>
      </w:r>
      <w:proofErr w:type="spellEnd"/>
      <w:r w:rsidRPr="00B90AA1">
        <w:rPr>
          <w:rFonts w:ascii="Arial" w:hAnsi="Arial" w:cs="Arial"/>
          <w:color w:val="25282A"/>
        </w:rPr>
        <w:t xml:space="preserve"> sind anzugeben.</w:t>
      </w:r>
    </w:p>
    <w:p w14:paraId="5479649B" w14:textId="29725D53" w:rsidR="00D02866" w:rsidRPr="00D02866" w:rsidRDefault="00D02866" w:rsidP="00D02866">
      <w:pPr>
        <w:pStyle w:val="Listenabsatz"/>
        <w:keepNext/>
        <w:numPr>
          <w:ilvl w:val="1"/>
          <w:numId w:val="12"/>
        </w:numPr>
        <w:spacing w:before="120" w:after="120" w:line="360" w:lineRule="auto"/>
        <w:ind w:left="567" w:hanging="567"/>
        <w:contextualSpacing w:val="0"/>
        <w:jc w:val="both"/>
        <w:rPr>
          <w:rFonts w:ascii="Arial" w:hAnsi="Arial" w:cs="Arial"/>
          <w:b/>
          <w:bCs/>
          <w:color w:val="25282A"/>
        </w:rPr>
      </w:pPr>
      <w:proofErr w:type="spellStart"/>
      <w:r w:rsidRPr="00D02866">
        <w:rPr>
          <w:rFonts w:ascii="Arial" w:hAnsi="Arial" w:cs="Arial"/>
          <w:b/>
          <w:bCs/>
          <w:color w:val="25282A"/>
        </w:rPr>
        <w:t>Observability</w:t>
      </w:r>
      <w:proofErr w:type="spellEnd"/>
      <w:r w:rsidRPr="00D02866">
        <w:rPr>
          <w:rFonts w:ascii="Arial" w:hAnsi="Arial" w:cs="Arial"/>
          <w:b/>
          <w:bCs/>
          <w:color w:val="25282A"/>
        </w:rPr>
        <w:t xml:space="preserve"> und Supportfähigkeit</w:t>
      </w:r>
    </w:p>
    <w:p w14:paraId="28E600F3" w14:textId="22652B1F" w:rsidR="00B90AA1" w:rsidRPr="00B90AA1" w:rsidRDefault="00B90AA1" w:rsidP="00B90AA1">
      <w:pPr>
        <w:spacing w:before="120" w:after="120" w:line="360" w:lineRule="auto"/>
        <w:jc w:val="both"/>
        <w:rPr>
          <w:rFonts w:ascii="Arial" w:hAnsi="Arial" w:cs="Arial"/>
          <w:color w:val="25282A"/>
        </w:rPr>
      </w:pPr>
      <w:r w:rsidRPr="00B90AA1">
        <w:rPr>
          <w:rFonts w:ascii="Arial" w:hAnsi="Arial" w:cs="Arial"/>
          <w:color w:val="25282A"/>
        </w:rPr>
        <w:t xml:space="preserve">Die Anwendung muss strukturiertes </w:t>
      </w:r>
      <w:proofErr w:type="spellStart"/>
      <w:r w:rsidRPr="00B90AA1">
        <w:rPr>
          <w:rFonts w:ascii="Arial" w:hAnsi="Arial" w:cs="Arial"/>
          <w:color w:val="25282A"/>
        </w:rPr>
        <w:t>Logging</w:t>
      </w:r>
      <w:proofErr w:type="spellEnd"/>
      <w:r w:rsidRPr="00B90AA1">
        <w:rPr>
          <w:rFonts w:ascii="Arial" w:hAnsi="Arial" w:cs="Arial"/>
          <w:color w:val="25282A"/>
        </w:rPr>
        <w:t xml:space="preserve"> </w:t>
      </w:r>
      <w:r w:rsidR="00E50F04">
        <w:rPr>
          <w:rFonts w:ascii="Arial" w:hAnsi="Arial" w:cs="Arial"/>
          <w:color w:val="25282A"/>
        </w:rPr>
        <w:t>über e</w:t>
      </w:r>
      <w:r w:rsidR="007F6E35">
        <w:rPr>
          <w:rFonts w:ascii="Arial" w:hAnsi="Arial" w:cs="Arial"/>
          <w:color w:val="25282A"/>
        </w:rPr>
        <w:t>in durch die Plattform bereitgestellten Loggin-</w:t>
      </w:r>
      <w:r w:rsidR="00C864A2">
        <w:rPr>
          <w:rFonts w:ascii="Arial" w:hAnsi="Arial" w:cs="Arial"/>
          <w:color w:val="25282A"/>
        </w:rPr>
        <w:t xml:space="preserve">Service </w:t>
      </w:r>
      <w:r w:rsidRPr="00B90AA1">
        <w:rPr>
          <w:rFonts w:ascii="Arial" w:hAnsi="Arial" w:cs="Arial"/>
          <w:color w:val="25282A"/>
        </w:rPr>
        <w:t>unterstützen. Sensible Daten und Secrets dürfen nicht in Logs enthalten sein.</w:t>
      </w:r>
    </w:p>
    <w:p w14:paraId="1ABF2746" w14:textId="77777777" w:rsidR="00B90AA1" w:rsidRPr="00B90AA1" w:rsidRDefault="00B90AA1" w:rsidP="00B90AA1">
      <w:pPr>
        <w:spacing w:before="120" w:after="120" w:line="360" w:lineRule="auto"/>
        <w:jc w:val="both"/>
        <w:rPr>
          <w:rFonts w:ascii="Arial" w:hAnsi="Arial" w:cs="Arial"/>
          <w:color w:val="25282A"/>
        </w:rPr>
      </w:pPr>
      <w:r w:rsidRPr="00B90AA1">
        <w:rPr>
          <w:rFonts w:ascii="Arial" w:hAnsi="Arial" w:cs="Arial"/>
          <w:color w:val="25282A"/>
        </w:rPr>
        <w:t xml:space="preserve">Die Anwendung soll Prometheus-kompatible Metriken bereitstellen. Es sollen geeignete Service Level </w:t>
      </w:r>
      <w:proofErr w:type="spellStart"/>
      <w:r w:rsidRPr="00B90AA1">
        <w:rPr>
          <w:rFonts w:ascii="Arial" w:hAnsi="Arial" w:cs="Arial"/>
          <w:color w:val="25282A"/>
        </w:rPr>
        <w:t>Indicators</w:t>
      </w:r>
      <w:proofErr w:type="spellEnd"/>
      <w:r w:rsidRPr="00B90AA1">
        <w:rPr>
          <w:rFonts w:ascii="Arial" w:hAnsi="Arial" w:cs="Arial"/>
          <w:color w:val="25282A"/>
        </w:rPr>
        <w:t xml:space="preserve"> – insbesondere Error-Rate, Latenz und </w:t>
      </w:r>
      <w:proofErr w:type="spellStart"/>
      <w:r w:rsidRPr="00B90AA1">
        <w:rPr>
          <w:rFonts w:ascii="Arial" w:hAnsi="Arial" w:cs="Arial"/>
          <w:color w:val="25282A"/>
        </w:rPr>
        <w:t>Throughput</w:t>
      </w:r>
      <w:proofErr w:type="spellEnd"/>
      <w:r w:rsidRPr="00B90AA1">
        <w:rPr>
          <w:rFonts w:ascii="Arial" w:hAnsi="Arial" w:cs="Arial"/>
          <w:color w:val="25282A"/>
        </w:rPr>
        <w:t xml:space="preserve"> – definiert werden. Distributed Tracing über </w:t>
      </w:r>
      <w:proofErr w:type="spellStart"/>
      <w:r w:rsidRPr="00B90AA1">
        <w:rPr>
          <w:rFonts w:ascii="Arial" w:hAnsi="Arial" w:cs="Arial"/>
          <w:color w:val="25282A"/>
        </w:rPr>
        <w:t>OpenTelemetry</w:t>
      </w:r>
      <w:proofErr w:type="spellEnd"/>
      <w:r w:rsidRPr="00B90AA1">
        <w:rPr>
          <w:rFonts w:ascii="Arial" w:hAnsi="Arial" w:cs="Arial"/>
          <w:color w:val="25282A"/>
        </w:rPr>
        <w:t xml:space="preserve"> soll ermöglicht werden.</w:t>
      </w:r>
    </w:p>
    <w:p w14:paraId="52F1C010" w14:textId="3252565D" w:rsidR="00D02866" w:rsidRPr="00D02866" w:rsidRDefault="00B90AA1" w:rsidP="00B90AA1">
      <w:pPr>
        <w:spacing w:before="120" w:after="120" w:line="360" w:lineRule="auto"/>
        <w:jc w:val="both"/>
        <w:rPr>
          <w:rFonts w:ascii="Arial" w:hAnsi="Arial" w:cs="Arial"/>
          <w:color w:val="25282A"/>
        </w:rPr>
      </w:pPr>
      <w:r w:rsidRPr="00B90AA1">
        <w:rPr>
          <w:rFonts w:ascii="Arial" w:hAnsi="Arial" w:cs="Arial"/>
          <w:color w:val="25282A"/>
        </w:rPr>
        <w:t xml:space="preserve">Der Anbieter muss </w:t>
      </w:r>
      <w:proofErr w:type="spellStart"/>
      <w:r w:rsidRPr="00B90AA1">
        <w:rPr>
          <w:rFonts w:ascii="Arial" w:hAnsi="Arial" w:cs="Arial"/>
          <w:color w:val="25282A"/>
        </w:rPr>
        <w:t>Runbooks</w:t>
      </w:r>
      <w:proofErr w:type="spellEnd"/>
      <w:r w:rsidRPr="00B90AA1">
        <w:rPr>
          <w:rFonts w:ascii="Arial" w:hAnsi="Arial" w:cs="Arial"/>
          <w:color w:val="25282A"/>
        </w:rPr>
        <w:t xml:space="preserve"> für Betrieb und Störungsbehebung bereitstellen. </w:t>
      </w:r>
      <w:proofErr w:type="spellStart"/>
      <w:r w:rsidRPr="00B90AA1">
        <w:rPr>
          <w:rFonts w:ascii="Arial" w:hAnsi="Arial" w:cs="Arial"/>
          <w:color w:val="25282A"/>
        </w:rPr>
        <w:t>Healthchecks</w:t>
      </w:r>
      <w:proofErr w:type="spellEnd"/>
      <w:r w:rsidRPr="00B90AA1">
        <w:rPr>
          <w:rFonts w:ascii="Arial" w:hAnsi="Arial" w:cs="Arial"/>
          <w:color w:val="25282A"/>
        </w:rPr>
        <w:t xml:space="preserve"> sind nachvollziehbar zu dokumentieren.</w:t>
      </w:r>
    </w:p>
    <w:p w14:paraId="1F620978" w14:textId="1C3E52A5" w:rsidR="00D02866" w:rsidRPr="00D02866" w:rsidRDefault="00D02866" w:rsidP="00D02866">
      <w:pPr>
        <w:pStyle w:val="Listenabsatz"/>
        <w:keepNext/>
        <w:numPr>
          <w:ilvl w:val="1"/>
          <w:numId w:val="12"/>
        </w:numPr>
        <w:spacing w:before="120" w:after="120" w:line="360" w:lineRule="auto"/>
        <w:ind w:left="567" w:hanging="567"/>
        <w:contextualSpacing w:val="0"/>
        <w:jc w:val="both"/>
        <w:rPr>
          <w:rFonts w:ascii="Arial" w:hAnsi="Arial" w:cs="Arial"/>
          <w:b/>
          <w:bCs/>
          <w:color w:val="25282A"/>
        </w:rPr>
      </w:pPr>
      <w:r w:rsidRPr="00D02866">
        <w:rPr>
          <w:rFonts w:ascii="Arial" w:hAnsi="Arial" w:cs="Arial"/>
          <w:b/>
          <w:bCs/>
          <w:color w:val="25282A"/>
        </w:rPr>
        <w:t>Betriebsaufnahme und technische Abnahmekriterien</w:t>
      </w:r>
    </w:p>
    <w:p w14:paraId="746616D7" w14:textId="77777777" w:rsidR="00B90AA1" w:rsidRPr="00B90AA1" w:rsidRDefault="00B90AA1" w:rsidP="00B90AA1">
      <w:pPr>
        <w:spacing w:before="120" w:after="120" w:line="360" w:lineRule="auto"/>
        <w:jc w:val="both"/>
        <w:rPr>
          <w:rFonts w:ascii="Arial" w:hAnsi="Arial" w:cs="Arial"/>
          <w:color w:val="25282A"/>
        </w:rPr>
      </w:pPr>
      <w:r w:rsidRPr="00B90AA1">
        <w:rPr>
          <w:rFonts w:ascii="Arial" w:hAnsi="Arial" w:cs="Arial"/>
          <w:color w:val="25282A"/>
        </w:rPr>
        <w:t xml:space="preserve">Die Betriebsaufnahme erfolgt in einer </w:t>
      </w:r>
      <w:proofErr w:type="spellStart"/>
      <w:r w:rsidRPr="00B90AA1">
        <w:rPr>
          <w:rFonts w:ascii="Arial" w:hAnsi="Arial" w:cs="Arial"/>
          <w:color w:val="25282A"/>
        </w:rPr>
        <w:t>Staging</w:t>
      </w:r>
      <w:proofErr w:type="spellEnd"/>
      <w:r w:rsidRPr="00B90AA1">
        <w:rPr>
          <w:rFonts w:ascii="Arial" w:hAnsi="Arial" w:cs="Arial"/>
          <w:color w:val="25282A"/>
        </w:rPr>
        <w:t xml:space="preserve">-Umgebung, die </w:t>
      </w:r>
      <w:proofErr w:type="spellStart"/>
      <w:r w:rsidRPr="00B90AA1">
        <w:rPr>
          <w:rFonts w:ascii="Arial" w:hAnsi="Arial" w:cs="Arial"/>
          <w:color w:val="25282A"/>
        </w:rPr>
        <w:t>GovTech</w:t>
      </w:r>
      <w:proofErr w:type="spellEnd"/>
      <w:r w:rsidRPr="00B90AA1">
        <w:rPr>
          <w:rFonts w:ascii="Arial" w:hAnsi="Arial" w:cs="Arial"/>
          <w:color w:val="25282A"/>
        </w:rPr>
        <w:t xml:space="preserve"> für diesen Zweck bereitstellt. Mindestabnahmekriterien sind:</w:t>
      </w:r>
    </w:p>
    <w:p w14:paraId="4225C1AC" w14:textId="77777777" w:rsidR="00D02866" w:rsidRPr="00D02866" w:rsidRDefault="00D02866" w:rsidP="00B90AA1">
      <w:pPr>
        <w:numPr>
          <w:ilvl w:val="0"/>
          <w:numId w:val="4"/>
        </w:numPr>
        <w:spacing w:before="120" w:after="120" w:line="360" w:lineRule="auto"/>
        <w:ind w:left="567" w:hanging="567"/>
        <w:jc w:val="both"/>
        <w:rPr>
          <w:rFonts w:ascii="Arial" w:hAnsi="Arial" w:cs="Arial"/>
          <w:color w:val="25282A"/>
        </w:rPr>
      </w:pPr>
      <w:r w:rsidRPr="00D02866">
        <w:rPr>
          <w:rFonts w:ascii="Arial" w:hAnsi="Arial" w:cs="Arial"/>
          <w:color w:val="25282A"/>
        </w:rPr>
        <w:lastRenderedPageBreak/>
        <w:t>automatisierte Bereitstellung einschließlich Deploy, Upgrade und Rollback,</w:t>
      </w:r>
    </w:p>
    <w:p w14:paraId="3D83BC6D" w14:textId="77777777" w:rsidR="00D02866" w:rsidRPr="00D02866" w:rsidRDefault="00D02866" w:rsidP="00B90AA1">
      <w:pPr>
        <w:numPr>
          <w:ilvl w:val="0"/>
          <w:numId w:val="4"/>
        </w:numPr>
        <w:spacing w:before="120" w:after="120" w:line="360" w:lineRule="auto"/>
        <w:ind w:left="567" w:hanging="567"/>
        <w:jc w:val="both"/>
        <w:rPr>
          <w:rFonts w:ascii="Arial" w:hAnsi="Arial" w:cs="Arial"/>
          <w:color w:val="25282A"/>
        </w:rPr>
      </w:pPr>
      <w:r w:rsidRPr="00D02866">
        <w:rPr>
          <w:rFonts w:ascii="Arial" w:hAnsi="Arial" w:cs="Arial"/>
          <w:color w:val="25282A"/>
        </w:rPr>
        <w:t>erfolgreiches Bestehen der Sicherheitsprüfungen gemäß Ziffer 6,</w:t>
      </w:r>
    </w:p>
    <w:p w14:paraId="01E06C61" w14:textId="77777777" w:rsidR="00D02866" w:rsidRPr="00D02866" w:rsidRDefault="00D02866" w:rsidP="00B90AA1">
      <w:pPr>
        <w:numPr>
          <w:ilvl w:val="0"/>
          <w:numId w:val="4"/>
        </w:numPr>
        <w:spacing w:before="120" w:after="120" w:line="360" w:lineRule="auto"/>
        <w:ind w:left="567" w:hanging="567"/>
        <w:jc w:val="both"/>
        <w:rPr>
          <w:rFonts w:ascii="Arial" w:hAnsi="Arial" w:cs="Arial"/>
          <w:color w:val="25282A"/>
        </w:rPr>
      </w:pPr>
      <w:r w:rsidRPr="00D02866">
        <w:rPr>
          <w:rFonts w:ascii="Arial" w:hAnsi="Arial" w:cs="Arial"/>
          <w:color w:val="25282A"/>
        </w:rPr>
        <w:t xml:space="preserve">Nachweis von </w:t>
      </w:r>
      <w:proofErr w:type="spellStart"/>
      <w:r w:rsidRPr="00D02866">
        <w:rPr>
          <w:rFonts w:ascii="Arial" w:hAnsi="Arial" w:cs="Arial"/>
          <w:color w:val="25282A"/>
        </w:rPr>
        <w:t>Observability</w:t>
      </w:r>
      <w:proofErr w:type="spellEnd"/>
      <w:r w:rsidRPr="00D02866">
        <w:rPr>
          <w:rFonts w:ascii="Arial" w:hAnsi="Arial" w:cs="Arial"/>
          <w:color w:val="25282A"/>
        </w:rPr>
        <w:t xml:space="preserve">, insbesondere Logs, </w:t>
      </w:r>
      <w:proofErr w:type="spellStart"/>
      <w:r w:rsidRPr="00D02866">
        <w:rPr>
          <w:rFonts w:ascii="Arial" w:hAnsi="Arial" w:cs="Arial"/>
          <w:color w:val="25282A"/>
        </w:rPr>
        <w:t>Healthchecks</w:t>
      </w:r>
      <w:proofErr w:type="spellEnd"/>
      <w:r w:rsidRPr="00D02866">
        <w:rPr>
          <w:rFonts w:ascii="Arial" w:hAnsi="Arial" w:cs="Arial"/>
          <w:color w:val="25282A"/>
        </w:rPr>
        <w:t xml:space="preserve"> und Metriken,</w:t>
      </w:r>
    </w:p>
    <w:p w14:paraId="19AA835B" w14:textId="77777777" w:rsidR="00D02866" w:rsidRPr="00D02866" w:rsidRDefault="00D02866" w:rsidP="00B90AA1">
      <w:pPr>
        <w:numPr>
          <w:ilvl w:val="0"/>
          <w:numId w:val="4"/>
        </w:numPr>
        <w:spacing w:before="120" w:after="120" w:line="360" w:lineRule="auto"/>
        <w:ind w:left="567" w:hanging="567"/>
        <w:jc w:val="both"/>
        <w:rPr>
          <w:rFonts w:ascii="Arial" w:hAnsi="Arial" w:cs="Arial"/>
          <w:color w:val="25282A"/>
        </w:rPr>
      </w:pPr>
      <w:r w:rsidRPr="00D02866">
        <w:rPr>
          <w:rFonts w:ascii="Arial" w:hAnsi="Arial" w:cs="Arial"/>
          <w:color w:val="25282A"/>
        </w:rPr>
        <w:t>erfolgreicher Restore-/Recovery-Test.</w:t>
      </w:r>
    </w:p>
    <w:p w14:paraId="3D7E03CA" w14:textId="5FF458E8" w:rsidR="00D02866" w:rsidRPr="00D02866" w:rsidRDefault="00B90AA1" w:rsidP="00D02866">
      <w:pPr>
        <w:spacing w:before="120" w:after="120" w:line="360" w:lineRule="auto"/>
        <w:jc w:val="both"/>
        <w:rPr>
          <w:rFonts w:ascii="Arial" w:hAnsi="Arial" w:cs="Arial"/>
          <w:color w:val="25282A"/>
        </w:rPr>
      </w:pPr>
      <w:r w:rsidRPr="00B90AA1">
        <w:rPr>
          <w:rFonts w:ascii="Arial" w:hAnsi="Arial" w:cs="Arial"/>
          <w:color w:val="25282A"/>
        </w:rPr>
        <w:t>Diese Abnahmekriterien betreffen ausschließlich die technische Betriebsaufnahme und bilden zugleich den Bewertungsmaßstab des technischen Integrationstests gemäß Ziffer 4.5 der Verfahrensbeschreibung. Fachliche Abnahmekriterien, die sich auf die konkrete Funktionalität der jeweiligen Anwendung beziehen, sind nicht Bestandteil dieses Dokuments und werden im jeweiligen Leistungsblatt geregelt.</w:t>
      </w:r>
    </w:p>
    <w:p w14:paraId="6F6C8443" w14:textId="45DA7497" w:rsidR="00D02866" w:rsidRPr="00D02866" w:rsidRDefault="00D02866" w:rsidP="00D02866">
      <w:pPr>
        <w:pStyle w:val="Listenabsatz"/>
        <w:keepNext/>
        <w:numPr>
          <w:ilvl w:val="0"/>
          <w:numId w:val="12"/>
        </w:numPr>
        <w:spacing w:before="120" w:after="120" w:line="360" w:lineRule="auto"/>
        <w:ind w:left="567" w:hanging="567"/>
        <w:contextualSpacing w:val="0"/>
        <w:jc w:val="both"/>
        <w:rPr>
          <w:rFonts w:ascii="Arial" w:hAnsi="Arial" w:cs="Arial"/>
          <w:b/>
          <w:bCs/>
          <w:color w:val="25282A"/>
        </w:rPr>
      </w:pPr>
      <w:r w:rsidRPr="00D02866">
        <w:rPr>
          <w:rFonts w:ascii="Arial" w:hAnsi="Arial" w:cs="Arial"/>
          <w:b/>
          <w:bCs/>
          <w:color w:val="25282A"/>
        </w:rPr>
        <w:t>Service Levels und Support</w:t>
      </w:r>
    </w:p>
    <w:p w14:paraId="311AEFEF" w14:textId="7F18E30E" w:rsidR="00D02866" w:rsidRPr="00D02866" w:rsidRDefault="00B90AA1" w:rsidP="00D02866">
      <w:pPr>
        <w:spacing w:before="120" w:after="120" w:line="360" w:lineRule="auto"/>
        <w:jc w:val="both"/>
        <w:rPr>
          <w:rFonts w:ascii="Arial" w:hAnsi="Arial" w:cs="Arial"/>
          <w:color w:val="25282A"/>
        </w:rPr>
      </w:pPr>
      <w:r w:rsidRPr="00B90AA1">
        <w:rPr>
          <w:rFonts w:ascii="Arial" w:hAnsi="Arial" w:cs="Arial"/>
          <w:color w:val="25282A"/>
        </w:rPr>
        <w:t>Für den Betrieb der Anwendungen gelten standardisierte SLA-Profile. Im jeweiligen Leistungsblatt wird festgelegt, ob das Profil „Standard" oder das Profil „KRITIS" Anwendung findet und ob einzelne Parameter – insbesondere Verfügbarkeit, RTO oder RPO – abweichend vereinbart werden.</w:t>
      </w:r>
    </w:p>
    <w:p w14:paraId="71736562" w14:textId="4C733AE7" w:rsidR="00D02866" w:rsidRPr="00D02866" w:rsidRDefault="00D02866" w:rsidP="00D02866">
      <w:pPr>
        <w:pStyle w:val="Listenabsatz"/>
        <w:keepNext/>
        <w:numPr>
          <w:ilvl w:val="1"/>
          <w:numId w:val="12"/>
        </w:numPr>
        <w:spacing w:before="120" w:after="120" w:line="360" w:lineRule="auto"/>
        <w:ind w:left="567" w:hanging="567"/>
        <w:contextualSpacing w:val="0"/>
        <w:jc w:val="both"/>
        <w:rPr>
          <w:rFonts w:ascii="Arial" w:hAnsi="Arial" w:cs="Arial"/>
          <w:b/>
          <w:bCs/>
          <w:color w:val="25282A"/>
        </w:rPr>
      </w:pPr>
      <w:proofErr w:type="spellStart"/>
      <w:r w:rsidRPr="00D02866">
        <w:rPr>
          <w:rFonts w:ascii="Arial" w:hAnsi="Arial" w:cs="Arial"/>
          <w:b/>
          <w:bCs/>
          <w:color w:val="25282A"/>
        </w:rPr>
        <w:t>Severity</w:t>
      </w:r>
      <w:proofErr w:type="spellEnd"/>
      <w:r w:rsidRPr="00D02866">
        <w:rPr>
          <w:rFonts w:ascii="Arial" w:hAnsi="Arial" w:cs="Arial"/>
          <w:b/>
          <w:bCs/>
          <w:color w:val="25282A"/>
        </w:rPr>
        <w:t>-Modell</w:t>
      </w:r>
    </w:p>
    <w:p w14:paraId="73055E54" w14:textId="77777777"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 xml:space="preserve">Für Störungen und Supportfälle gilt folgendes </w:t>
      </w:r>
      <w:proofErr w:type="spellStart"/>
      <w:r w:rsidRPr="00D02866">
        <w:rPr>
          <w:rFonts w:ascii="Arial" w:hAnsi="Arial" w:cs="Arial"/>
          <w:color w:val="25282A"/>
        </w:rPr>
        <w:t>Severity</w:t>
      </w:r>
      <w:proofErr w:type="spellEnd"/>
      <w:r w:rsidRPr="00D02866">
        <w:rPr>
          <w:rFonts w:ascii="Arial" w:hAnsi="Arial" w:cs="Arial"/>
          <w:color w:val="25282A"/>
        </w:rPr>
        <w:t>-Modell:</w:t>
      </w:r>
    </w:p>
    <w:tbl>
      <w:tblPr>
        <w:tblStyle w:val="Tabellenraster"/>
        <w:tblW w:w="0" w:type="auto"/>
        <w:tblLook w:val="04A0" w:firstRow="1" w:lastRow="0" w:firstColumn="1" w:lastColumn="0" w:noHBand="0" w:noVBand="1"/>
      </w:tblPr>
      <w:tblGrid>
        <w:gridCol w:w="1555"/>
        <w:gridCol w:w="4486"/>
        <w:gridCol w:w="3021"/>
      </w:tblGrid>
      <w:tr w:rsidR="00D02866" w14:paraId="49692495" w14:textId="77777777" w:rsidTr="00D02866">
        <w:tc>
          <w:tcPr>
            <w:tcW w:w="1555" w:type="dxa"/>
            <w:vAlign w:val="center"/>
          </w:tcPr>
          <w:p w14:paraId="12844F1F" w14:textId="52A1EF24" w:rsidR="00D02866" w:rsidRDefault="00D02866" w:rsidP="00D02866">
            <w:pPr>
              <w:spacing w:before="120" w:after="120" w:line="360" w:lineRule="auto"/>
              <w:jc w:val="both"/>
              <w:rPr>
                <w:rFonts w:ascii="Arial" w:hAnsi="Arial" w:cs="Arial"/>
                <w:color w:val="25282A"/>
              </w:rPr>
            </w:pPr>
            <w:proofErr w:type="spellStart"/>
            <w:r w:rsidRPr="00D02866">
              <w:rPr>
                <w:rFonts w:ascii="Arial" w:hAnsi="Arial" w:cs="Arial"/>
                <w:b/>
                <w:bCs/>
                <w:color w:val="25282A"/>
              </w:rPr>
              <w:t>Severity</w:t>
            </w:r>
            <w:proofErr w:type="spellEnd"/>
          </w:p>
        </w:tc>
        <w:tc>
          <w:tcPr>
            <w:tcW w:w="4486" w:type="dxa"/>
            <w:vAlign w:val="center"/>
          </w:tcPr>
          <w:p w14:paraId="78DC15DA" w14:textId="2960149E" w:rsidR="00D02866" w:rsidRDefault="00D02866" w:rsidP="00D02866">
            <w:pPr>
              <w:spacing w:before="120" w:after="120" w:line="360" w:lineRule="auto"/>
              <w:jc w:val="both"/>
              <w:rPr>
                <w:rFonts w:ascii="Arial" w:hAnsi="Arial" w:cs="Arial"/>
                <w:color w:val="25282A"/>
              </w:rPr>
            </w:pPr>
            <w:r w:rsidRPr="00D02866">
              <w:rPr>
                <w:rFonts w:ascii="Arial" w:hAnsi="Arial" w:cs="Arial"/>
                <w:b/>
                <w:bCs/>
                <w:color w:val="25282A"/>
              </w:rPr>
              <w:t>Definition</w:t>
            </w:r>
          </w:p>
        </w:tc>
        <w:tc>
          <w:tcPr>
            <w:tcW w:w="3021" w:type="dxa"/>
            <w:vAlign w:val="center"/>
          </w:tcPr>
          <w:p w14:paraId="2E3F31E0" w14:textId="6603B163" w:rsidR="00D02866" w:rsidRDefault="00D02866" w:rsidP="00D02866">
            <w:pPr>
              <w:spacing w:before="120" w:after="120" w:line="360" w:lineRule="auto"/>
              <w:jc w:val="both"/>
              <w:rPr>
                <w:rFonts w:ascii="Arial" w:hAnsi="Arial" w:cs="Arial"/>
                <w:color w:val="25282A"/>
              </w:rPr>
            </w:pPr>
            <w:r w:rsidRPr="00D02866">
              <w:rPr>
                <w:rFonts w:ascii="Arial" w:hAnsi="Arial" w:cs="Arial"/>
                <w:b/>
                <w:bCs/>
                <w:color w:val="25282A"/>
              </w:rPr>
              <w:t>Beispiele</w:t>
            </w:r>
          </w:p>
        </w:tc>
      </w:tr>
      <w:tr w:rsidR="00D02866" w14:paraId="669CE9EC" w14:textId="77777777" w:rsidTr="00D02866">
        <w:tc>
          <w:tcPr>
            <w:tcW w:w="1555" w:type="dxa"/>
            <w:vAlign w:val="center"/>
          </w:tcPr>
          <w:p w14:paraId="61AD4989" w14:textId="36B90173"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S1</w:t>
            </w:r>
          </w:p>
        </w:tc>
        <w:tc>
          <w:tcPr>
            <w:tcW w:w="4486" w:type="dxa"/>
            <w:vAlign w:val="center"/>
          </w:tcPr>
          <w:p w14:paraId="4FEAEBB4" w14:textId="7279747D"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Totalausfall Kernfunktion oder Sicherheitsvorfall</w:t>
            </w:r>
          </w:p>
        </w:tc>
        <w:tc>
          <w:tcPr>
            <w:tcW w:w="3021" w:type="dxa"/>
            <w:vAlign w:val="center"/>
          </w:tcPr>
          <w:p w14:paraId="0261378E" w14:textId="3876C5D7"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Login unmöglich; Datenabflussverdacht</w:t>
            </w:r>
          </w:p>
        </w:tc>
      </w:tr>
      <w:tr w:rsidR="00D02866" w14:paraId="6422546A" w14:textId="77777777" w:rsidTr="00D02866">
        <w:tc>
          <w:tcPr>
            <w:tcW w:w="1555" w:type="dxa"/>
            <w:vAlign w:val="center"/>
          </w:tcPr>
          <w:p w14:paraId="2CC6EA70" w14:textId="3F908845"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S2</w:t>
            </w:r>
          </w:p>
        </w:tc>
        <w:tc>
          <w:tcPr>
            <w:tcW w:w="4486" w:type="dxa"/>
            <w:vAlign w:val="center"/>
          </w:tcPr>
          <w:p w14:paraId="661CA426" w14:textId="26C89DA1"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Wesentliche Funktion stark beeinträchtigt</w:t>
            </w:r>
          </w:p>
        </w:tc>
        <w:tc>
          <w:tcPr>
            <w:tcW w:w="3021" w:type="dxa"/>
            <w:vAlign w:val="center"/>
          </w:tcPr>
          <w:p w14:paraId="73D2415C" w14:textId="7953E5CD"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Hohe Fehlerquote; Performance-Kollaps</w:t>
            </w:r>
          </w:p>
        </w:tc>
      </w:tr>
      <w:tr w:rsidR="00D02866" w14:paraId="110808A9" w14:textId="77777777" w:rsidTr="00D02866">
        <w:tc>
          <w:tcPr>
            <w:tcW w:w="1555" w:type="dxa"/>
            <w:vAlign w:val="center"/>
          </w:tcPr>
          <w:p w14:paraId="140D593A" w14:textId="22A3F225"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S3</w:t>
            </w:r>
          </w:p>
        </w:tc>
        <w:tc>
          <w:tcPr>
            <w:tcW w:w="4486" w:type="dxa"/>
            <w:vAlign w:val="center"/>
          </w:tcPr>
          <w:p w14:paraId="5F24BD11" w14:textId="068D34E9"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Beeinträchtigung mit Workaround</w:t>
            </w:r>
          </w:p>
        </w:tc>
        <w:tc>
          <w:tcPr>
            <w:tcW w:w="3021" w:type="dxa"/>
            <w:vAlign w:val="center"/>
          </w:tcPr>
          <w:p w14:paraId="1F761B75" w14:textId="72337C59"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Teilfunktion gestört</w:t>
            </w:r>
          </w:p>
        </w:tc>
      </w:tr>
      <w:tr w:rsidR="00D02866" w14:paraId="5BBBEDEB" w14:textId="77777777" w:rsidTr="00D02866">
        <w:tc>
          <w:tcPr>
            <w:tcW w:w="1555" w:type="dxa"/>
            <w:vAlign w:val="center"/>
          </w:tcPr>
          <w:p w14:paraId="7C40F4DC" w14:textId="3C365AE4"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S4</w:t>
            </w:r>
          </w:p>
        </w:tc>
        <w:tc>
          <w:tcPr>
            <w:tcW w:w="4486" w:type="dxa"/>
            <w:vAlign w:val="center"/>
          </w:tcPr>
          <w:p w14:paraId="62FEA856" w14:textId="0C49C0B6"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Geringe Beeinträchtigung / Anfrage</w:t>
            </w:r>
          </w:p>
        </w:tc>
        <w:tc>
          <w:tcPr>
            <w:tcW w:w="3021" w:type="dxa"/>
            <w:vAlign w:val="center"/>
          </w:tcPr>
          <w:p w14:paraId="5E8CD45D" w14:textId="0472BE78"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Kosmetisch; Service Request</w:t>
            </w:r>
          </w:p>
        </w:tc>
      </w:tr>
    </w:tbl>
    <w:p w14:paraId="24B0AC2D" w14:textId="78F90185" w:rsidR="00D02866" w:rsidRPr="00D02866" w:rsidRDefault="00D02866" w:rsidP="00D02866">
      <w:pPr>
        <w:pStyle w:val="Listenabsatz"/>
        <w:keepNext/>
        <w:numPr>
          <w:ilvl w:val="1"/>
          <w:numId w:val="12"/>
        </w:numPr>
        <w:spacing w:before="120" w:after="120" w:line="360" w:lineRule="auto"/>
        <w:ind w:left="567" w:hanging="567"/>
        <w:contextualSpacing w:val="0"/>
        <w:jc w:val="both"/>
        <w:rPr>
          <w:rFonts w:ascii="Arial" w:hAnsi="Arial" w:cs="Arial"/>
          <w:b/>
          <w:bCs/>
          <w:color w:val="25282A"/>
        </w:rPr>
      </w:pPr>
      <w:r w:rsidRPr="00D02866">
        <w:rPr>
          <w:rFonts w:ascii="Arial" w:hAnsi="Arial" w:cs="Arial"/>
          <w:b/>
          <w:bCs/>
          <w:color w:val="25282A"/>
        </w:rPr>
        <w:t>SLA-Profil „Standard"</w:t>
      </w:r>
    </w:p>
    <w:p w14:paraId="28CA1264" w14:textId="77777777" w:rsidR="00D02866" w:rsidRP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Für das SLA-Profil „Standard" gelten folgende Anforderungen:</w:t>
      </w:r>
    </w:p>
    <w:p w14:paraId="6B304A36" w14:textId="77777777" w:rsidR="00D02866" w:rsidRPr="00D02866" w:rsidRDefault="00D02866" w:rsidP="00B90AA1">
      <w:pPr>
        <w:numPr>
          <w:ilvl w:val="0"/>
          <w:numId w:val="4"/>
        </w:numPr>
        <w:spacing w:before="120" w:after="120" w:line="360" w:lineRule="auto"/>
        <w:ind w:left="567" w:hanging="567"/>
        <w:jc w:val="both"/>
        <w:rPr>
          <w:rFonts w:ascii="Arial" w:hAnsi="Arial" w:cs="Arial"/>
          <w:color w:val="25282A"/>
        </w:rPr>
      </w:pPr>
      <w:r w:rsidRPr="00D02866">
        <w:rPr>
          <w:rFonts w:ascii="Arial" w:hAnsi="Arial" w:cs="Arial"/>
          <w:color w:val="25282A"/>
        </w:rPr>
        <w:t>Verfügbarkeit von 99,9 % pro Kalendermonat, ausgenommen geplante Wartungszeiten,</w:t>
      </w:r>
    </w:p>
    <w:p w14:paraId="369BE930" w14:textId="62DA2F33" w:rsidR="00D02866" w:rsidRPr="00D02866" w:rsidRDefault="00D02866" w:rsidP="00B90AA1">
      <w:pPr>
        <w:numPr>
          <w:ilvl w:val="0"/>
          <w:numId w:val="4"/>
        </w:numPr>
        <w:spacing w:before="120" w:after="120" w:line="360" w:lineRule="auto"/>
        <w:ind w:left="567" w:hanging="567"/>
        <w:jc w:val="both"/>
        <w:rPr>
          <w:rFonts w:ascii="Arial" w:hAnsi="Arial" w:cs="Arial"/>
          <w:color w:val="25282A"/>
        </w:rPr>
      </w:pPr>
      <w:r w:rsidRPr="00D02866">
        <w:rPr>
          <w:rFonts w:ascii="Arial" w:hAnsi="Arial" w:cs="Arial"/>
          <w:color w:val="25282A"/>
        </w:rPr>
        <w:lastRenderedPageBreak/>
        <w:t xml:space="preserve">Supportabdeckung </w:t>
      </w:r>
      <w:r w:rsidR="00103826">
        <w:rPr>
          <w:rFonts w:ascii="Arial" w:hAnsi="Arial" w:cs="Arial"/>
          <w:color w:val="25282A"/>
        </w:rPr>
        <w:t>10</w:t>
      </w:r>
      <w:r w:rsidR="00103826" w:rsidRPr="00D02866">
        <w:rPr>
          <w:rFonts w:ascii="Arial" w:hAnsi="Arial" w:cs="Arial"/>
          <w:color w:val="25282A"/>
        </w:rPr>
        <w:t>x5</w:t>
      </w:r>
      <w:r w:rsidRPr="00D02866">
        <w:rPr>
          <w:rFonts w:ascii="Arial" w:hAnsi="Arial" w:cs="Arial"/>
          <w:color w:val="25282A"/>
        </w:rPr>
        <w:t>, Montag bis Freitag von 08:00 bis 18:00 Uhr CET,</w:t>
      </w:r>
    </w:p>
    <w:p w14:paraId="164D9BC0" w14:textId="64E49C27" w:rsidR="00D02866" w:rsidRDefault="00D02866" w:rsidP="00B90AA1">
      <w:pPr>
        <w:numPr>
          <w:ilvl w:val="0"/>
          <w:numId w:val="4"/>
        </w:numPr>
        <w:spacing w:before="120" w:after="120" w:line="360" w:lineRule="auto"/>
        <w:ind w:left="567" w:hanging="567"/>
        <w:jc w:val="both"/>
        <w:rPr>
          <w:rFonts w:ascii="Arial" w:hAnsi="Arial" w:cs="Arial"/>
          <w:color w:val="25282A"/>
        </w:rPr>
      </w:pPr>
    </w:p>
    <w:tbl>
      <w:tblPr>
        <w:tblStyle w:val="Tabellenraster"/>
        <w:tblW w:w="0" w:type="auto"/>
        <w:tblLook w:val="04A0" w:firstRow="1" w:lastRow="0" w:firstColumn="1" w:lastColumn="0" w:noHBand="0" w:noVBand="1"/>
      </w:tblPr>
      <w:tblGrid>
        <w:gridCol w:w="1240"/>
        <w:gridCol w:w="1874"/>
        <w:gridCol w:w="2835"/>
        <w:gridCol w:w="3113"/>
      </w:tblGrid>
      <w:tr w:rsidR="00D02866" w14:paraId="041B095B" w14:textId="77777777" w:rsidTr="00D02866">
        <w:tc>
          <w:tcPr>
            <w:tcW w:w="1240" w:type="dxa"/>
            <w:vAlign w:val="center"/>
          </w:tcPr>
          <w:p w14:paraId="1352BEF6" w14:textId="6E8AAAC9" w:rsidR="00D02866" w:rsidRDefault="00D02866" w:rsidP="00D02866">
            <w:pPr>
              <w:spacing w:before="120" w:after="120" w:line="360" w:lineRule="auto"/>
              <w:jc w:val="both"/>
              <w:rPr>
                <w:rFonts w:ascii="Arial" w:hAnsi="Arial" w:cs="Arial"/>
                <w:color w:val="25282A"/>
              </w:rPr>
            </w:pPr>
            <w:proofErr w:type="spellStart"/>
            <w:r w:rsidRPr="00D02866">
              <w:rPr>
                <w:rFonts w:ascii="Arial" w:hAnsi="Arial" w:cs="Arial"/>
                <w:b/>
                <w:bCs/>
                <w:color w:val="25282A"/>
              </w:rPr>
              <w:t>Severity</w:t>
            </w:r>
            <w:proofErr w:type="spellEnd"/>
          </w:p>
        </w:tc>
        <w:tc>
          <w:tcPr>
            <w:tcW w:w="1874" w:type="dxa"/>
            <w:vAlign w:val="center"/>
          </w:tcPr>
          <w:p w14:paraId="35063E86" w14:textId="58C6D994" w:rsidR="00D02866" w:rsidRPr="00D02866" w:rsidRDefault="00D02866" w:rsidP="00D02866">
            <w:pPr>
              <w:spacing w:before="120" w:after="120" w:line="360" w:lineRule="auto"/>
              <w:jc w:val="both"/>
              <w:rPr>
                <w:rFonts w:ascii="Arial" w:hAnsi="Arial" w:cs="Arial"/>
                <w:b/>
                <w:bCs/>
                <w:color w:val="25282A"/>
              </w:rPr>
            </w:pPr>
            <w:r w:rsidRPr="00D02866">
              <w:rPr>
                <w:rFonts w:ascii="Arial" w:hAnsi="Arial" w:cs="Arial"/>
                <w:b/>
                <w:bCs/>
                <w:color w:val="25282A"/>
              </w:rPr>
              <w:t>Reaktion</w:t>
            </w:r>
          </w:p>
        </w:tc>
        <w:tc>
          <w:tcPr>
            <w:tcW w:w="2835" w:type="dxa"/>
            <w:vAlign w:val="center"/>
          </w:tcPr>
          <w:p w14:paraId="6874A96C" w14:textId="14BE26A7" w:rsidR="00D02866" w:rsidRDefault="00D02866" w:rsidP="00D02866">
            <w:pPr>
              <w:spacing w:before="120" w:after="120" w:line="360" w:lineRule="auto"/>
              <w:jc w:val="both"/>
              <w:rPr>
                <w:rFonts w:ascii="Arial" w:hAnsi="Arial" w:cs="Arial"/>
                <w:color w:val="25282A"/>
              </w:rPr>
            </w:pPr>
            <w:r w:rsidRPr="00D02866">
              <w:rPr>
                <w:rFonts w:ascii="Arial" w:hAnsi="Arial" w:cs="Arial"/>
                <w:b/>
                <w:bCs/>
                <w:color w:val="25282A"/>
              </w:rPr>
              <w:t>Mitigation / Workaround</w:t>
            </w:r>
          </w:p>
        </w:tc>
        <w:tc>
          <w:tcPr>
            <w:tcW w:w="3113" w:type="dxa"/>
            <w:vAlign w:val="center"/>
          </w:tcPr>
          <w:p w14:paraId="5E948E11" w14:textId="1A269DCD" w:rsidR="00D02866" w:rsidRDefault="00D02866" w:rsidP="00D02866">
            <w:pPr>
              <w:spacing w:before="120" w:after="120" w:line="360" w:lineRule="auto"/>
              <w:jc w:val="both"/>
              <w:rPr>
                <w:rFonts w:ascii="Arial" w:hAnsi="Arial" w:cs="Arial"/>
                <w:color w:val="25282A"/>
              </w:rPr>
            </w:pPr>
            <w:r w:rsidRPr="00D02866">
              <w:rPr>
                <w:rFonts w:ascii="Arial" w:hAnsi="Arial" w:cs="Arial"/>
                <w:b/>
                <w:bCs/>
                <w:color w:val="25282A"/>
              </w:rPr>
              <w:t>Ziel Wiederherstellung / Fix</w:t>
            </w:r>
          </w:p>
        </w:tc>
      </w:tr>
      <w:tr w:rsidR="00D02866" w14:paraId="541769A5" w14:textId="77777777" w:rsidTr="00D02866">
        <w:tc>
          <w:tcPr>
            <w:tcW w:w="1240" w:type="dxa"/>
            <w:vAlign w:val="center"/>
          </w:tcPr>
          <w:p w14:paraId="1C42A01C" w14:textId="1AFC09F7"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S1</w:t>
            </w:r>
          </w:p>
        </w:tc>
        <w:tc>
          <w:tcPr>
            <w:tcW w:w="1874" w:type="dxa"/>
            <w:vAlign w:val="center"/>
          </w:tcPr>
          <w:p w14:paraId="5607274B" w14:textId="52171814" w:rsidR="00D02866" w:rsidRP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 60 min</w:t>
            </w:r>
          </w:p>
        </w:tc>
        <w:tc>
          <w:tcPr>
            <w:tcW w:w="2835" w:type="dxa"/>
            <w:vAlign w:val="center"/>
          </w:tcPr>
          <w:p w14:paraId="4305008D" w14:textId="34F092D1"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 4 h</w:t>
            </w:r>
          </w:p>
        </w:tc>
        <w:tc>
          <w:tcPr>
            <w:tcW w:w="3113" w:type="dxa"/>
            <w:vAlign w:val="center"/>
          </w:tcPr>
          <w:p w14:paraId="31F30BC6" w14:textId="1F6A7E3C"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 24 h</w:t>
            </w:r>
          </w:p>
        </w:tc>
      </w:tr>
      <w:tr w:rsidR="00D02866" w14:paraId="51A26AF4" w14:textId="77777777" w:rsidTr="00D02866">
        <w:tc>
          <w:tcPr>
            <w:tcW w:w="1240" w:type="dxa"/>
            <w:vAlign w:val="center"/>
          </w:tcPr>
          <w:p w14:paraId="213CBA0E" w14:textId="7AACF2E0"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S2</w:t>
            </w:r>
          </w:p>
        </w:tc>
        <w:tc>
          <w:tcPr>
            <w:tcW w:w="1874" w:type="dxa"/>
            <w:vAlign w:val="center"/>
          </w:tcPr>
          <w:p w14:paraId="7471E2D7" w14:textId="57EE8026" w:rsidR="00D02866" w:rsidRP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 4 h</w:t>
            </w:r>
          </w:p>
        </w:tc>
        <w:tc>
          <w:tcPr>
            <w:tcW w:w="2835" w:type="dxa"/>
            <w:vAlign w:val="center"/>
          </w:tcPr>
          <w:p w14:paraId="31BA8021" w14:textId="4F831368"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 1 BT</w:t>
            </w:r>
          </w:p>
        </w:tc>
        <w:tc>
          <w:tcPr>
            <w:tcW w:w="3113" w:type="dxa"/>
            <w:vAlign w:val="center"/>
          </w:tcPr>
          <w:p w14:paraId="5AD2520C" w14:textId="0E98CFC8"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 3 BT</w:t>
            </w:r>
          </w:p>
        </w:tc>
      </w:tr>
      <w:tr w:rsidR="00D02866" w14:paraId="38FB8981" w14:textId="77777777" w:rsidTr="00D02866">
        <w:tc>
          <w:tcPr>
            <w:tcW w:w="1240" w:type="dxa"/>
            <w:vAlign w:val="center"/>
          </w:tcPr>
          <w:p w14:paraId="5EEDEF40" w14:textId="04F98345"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S3</w:t>
            </w:r>
          </w:p>
        </w:tc>
        <w:tc>
          <w:tcPr>
            <w:tcW w:w="1874" w:type="dxa"/>
            <w:vAlign w:val="center"/>
          </w:tcPr>
          <w:p w14:paraId="4E5A069F" w14:textId="732DB35F" w:rsidR="00D02866" w:rsidRP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 1 BT</w:t>
            </w:r>
          </w:p>
        </w:tc>
        <w:tc>
          <w:tcPr>
            <w:tcW w:w="2835" w:type="dxa"/>
            <w:vAlign w:val="center"/>
          </w:tcPr>
          <w:p w14:paraId="69005791" w14:textId="381773FD"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w:t>
            </w:r>
          </w:p>
        </w:tc>
        <w:tc>
          <w:tcPr>
            <w:tcW w:w="3113" w:type="dxa"/>
            <w:vAlign w:val="center"/>
          </w:tcPr>
          <w:p w14:paraId="4D2C5667" w14:textId="2CFC5800"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 10 BT</w:t>
            </w:r>
          </w:p>
        </w:tc>
      </w:tr>
      <w:tr w:rsidR="00D02866" w14:paraId="593286A6" w14:textId="77777777" w:rsidTr="00D02866">
        <w:tc>
          <w:tcPr>
            <w:tcW w:w="1240" w:type="dxa"/>
            <w:vAlign w:val="center"/>
          </w:tcPr>
          <w:p w14:paraId="24D6FCC5" w14:textId="1D0D4374"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S4</w:t>
            </w:r>
          </w:p>
        </w:tc>
        <w:tc>
          <w:tcPr>
            <w:tcW w:w="1874" w:type="dxa"/>
            <w:vAlign w:val="center"/>
          </w:tcPr>
          <w:p w14:paraId="5DD71967" w14:textId="20E18066" w:rsidR="00D02866" w:rsidRP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 3 BT</w:t>
            </w:r>
          </w:p>
        </w:tc>
        <w:tc>
          <w:tcPr>
            <w:tcW w:w="2835" w:type="dxa"/>
            <w:vAlign w:val="center"/>
          </w:tcPr>
          <w:p w14:paraId="66ABE269" w14:textId="6C82AE10"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w:t>
            </w:r>
          </w:p>
        </w:tc>
        <w:tc>
          <w:tcPr>
            <w:tcW w:w="3113" w:type="dxa"/>
            <w:vAlign w:val="center"/>
          </w:tcPr>
          <w:p w14:paraId="6B19D5F8" w14:textId="33AFA71B"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nächstes Release</w:t>
            </w:r>
          </w:p>
        </w:tc>
      </w:tr>
    </w:tbl>
    <w:p w14:paraId="185D0B74" w14:textId="37A3E547" w:rsidR="00D02866" w:rsidRPr="00D02866" w:rsidRDefault="00D02866" w:rsidP="00D02866">
      <w:pPr>
        <w:pStyle w:val="Listenabsatz"/>
        <w:keepNext/>
        <w:numPr>
          <w:ilvl w:val="1"/>
          <w:numId w:val="12"/>
        </w:numPr>
        <w:spacing w:before="120" w:after="120" w:line="360" w:lineRule="auto"/>
        <w:ind w:left="567" w:hanging="567"/>
        <w:contextualSpacing w:val="0"/>
        <w:jc w:val="both"/>
        <w:rPr>
          <w:rFonts w:ascii="Arial" w:hAnsi="Arial" w:cs="Arial"/>
          <w:b/>
          <w:bCs/>
          <w:color w:val="25282A"/>
        </w:rPr>
      </w:pPr>
      <w:r w:rsidRPr="00D02866">
        <w:rPr>
          <w:rFonts w:ascii="Arial" w:hAnsi="Arial" w:cs="Arial"/>
          <w:b/>
          <w:bCs/>
          <w:color w:val="25282A"/>
        </w:rPr>
        <w:t>SLA-Profil „KRITIS"</w:t>
      </w:r>
    </w:p>
    <w:p w14:paraId="448D30DD" w14:textId="60B99FF9" w:rsidR="00D02866" w:rsidRPr="00D02866" w:rsidRDefault="00B90AA1" w:rsidP="00D02866">
      <w:pPr>
        <w:spacing w:before="120" w:after="120" w:line="360" w:lineRule="auto"/>
        <w:jc w:val="both"/>
        <w:rPr>
          <w:rFonts w:ascii="Arial" w:hAnsi="Arial" w:cs="Arial"/>
          <w:color w:val="25282A"/>
        </w:rPr>
      </w:pPr>
      <w:r w:rsidRPr="00B90AA1">
        <w:rPr>
          <w:rFonts w:ascii="Arial" w:hAnsi="Arial" w:cs="Arial"/>
          <w:color w:val="25282A"/>
        </w:rPr>
        <w:t>Das SLA-Profil „KRITIS" findet Anwendung, wenn es im jeweiligen Leistungsblatt für den betreffenden Fachanwendungsbereich verbindlich festgelegt wird. Voraussetzung ist, dass Architektur sowie Backup- und Failover-Konzept des Anbieters die nachstehenden Anforderungen tatsächlich ermöglichen.</w:t>
      </w:r>
    </w:p>
    <w:p w14:paraId="77987250" w14:textId="77777777" w:rsidR="00D02866" w:rsidRP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Für das SLA-Profil „KRITIS" gelten folgende Anforderungen:</w:t>
      </w:r>
    </w:p>
    <w:p w14:paraId="2E6653B6" w14:textId="77777777" w:rsidR="00D02866" w:rsidRPr="00D02866" w:rsidRDefault="00D02866" w:rsidP="00B90AA1">
      <w:pPr>
        <w:numPr>
          <w:ilvl w:val="0"/>
          <w:numId w:val="4"/>
        </w:numPr>
        <w:spacing w:before="120" w:after="120" w:line="360" w:lineRule="auto"/>
        <w:ind w:left="567" w:hanging="567"/>
        <w:jc w:val="both"/>
        <w:rPr>
          <w:rFonts w:ascii="Arial" w:hAnsi="Arial" w:cs="Arial"/>
          <w:color w:val="25282A"/>
        </w:rPr>
      </w:pPr>
      <w:r w:rsidRPr="00D02866">
        <w:rPr>
          <w:rFonts w:ascii="Arial" w:hAnsi="Arial" w:cs="Arial"/>
          <w:color w:val="25282A"/>
        </w:rPr>
        <w:t>Verfügbarkeit von 99,95 % pro Kalendermonat, ausgenommen geplante Wartungszeiten,</w:t>
      </w:r>
    </w:p>
    <w:p w14:paraId="5763D242" w14:textId="0203486C" w:rsidR="00D02866" w:rsidRPr="00B90AA1" w:rsidRDefault="00D02866" w:rsidP="00B90AA1">
      <w:pPr>
        <w:numPr>
          <w:ilvl w:val="0"/>
          <w:numId w:val="4"/>
        </w:numPr>
        <w:spacing w:before="120" w:after="120" w:line="360" w:lineRule="auto"/>
        <w:ind w:left="567" w:hanging="567"/>
        <w:jc w:val="both"/>
        <w:rPr>
          <w:rFonts w:ascii="Arial" w:hAnsi="Arial" w:cs="Arial"/>
          <w:color w:val="25282A"/>
        </w:rPr>
      </w:pPr>
      <w:r w:rsidRPr="00B90AA1">
        <w:rPr>
          <w:rFonts w:ascii="Arial" w:hAnsi="Arial" w:cs="Arial"/>
          <w:color w:val="25282A"/>
        </w:rPr>
        <w:t>Supportabdeckung 24/7/365 über Ticket und Telefon.</w:t>
      </w:r>
    </w:p>
    <w:tbl>
      <w:tblPr>
        <w:tblStyle w:val="Tabellenraster"/>
        <w:tblW w:w="0" w:type="auto"/>
        <w:tblLook w:val="04A0" w:firstRow="1" w:lastRow="0" w:firstColumn="1" w:lastColumn="0" w:noHBand="0" w:noVBand="1"/>
      </w:tblPr>
      <w:tblGrid>
        <w:gridCol w:w="1240"/>
        <w:gridCol w:w="1874"/>
        <w:gridCol w:w="2835"/>
        <w:gridCol w:w="3113"/>
      </w:tblGrid>
      <w:tr w:rsidR="00D02866" w14:paraId="097424A2" w14:textId="77777777">
        <w:tc>
          <w:tcPr>
            <w:tcW w:w="1240" w:type="dxa"/>
            <w:vAlign w:val="center"/>
          </w:tcPr>
          <w:p w14:paraId="2B860365" w14:textId="65DFF8B3" w:rsidR="00D02866" w:rsidRDefault="00D02866" w:rsidP="00D02866">
            <w:pPr>
              <w:spacing w:before="120" w:after="120" w:line="360" w:lineRule="auto"/>
              <w:jc w:val="both"/>
              <w:rPr>
                <w:rFonts w:ascii="Arial" w:hAnsi="Arial" w:cs="Arial"/>
                <w:color w:val="25282A"/>
              </w:rPr>
            </w:pPr>
            <w:proofErr w:type="spellStart"/>
            <w:r w:rsidRPr="00D02866">
              <w:rPr>
                <w:rFonts w:ascii="Arial" w:hAnsi="Arial" w:cs="Arial"/>
                <w:b/>
                <w:bCs/>
                <w:color w:val="25282A"/>
              </w:rPr>
              <w:t>Severity</w:t>
            </w:r>
            <w:proofErr w:type="spellEnd"/>
          </w:p>
        </w:tc>
        <w:tc>
          <w:tcPr>
            <w:tcW w:w="1874" w:type="dxa"/>
            <w:vAlign w:val="center"/>
          </w:tcPr>
          <w:p w14:paraId="4F3D163A" w14:textId="3EA920F0" w:rsidR="00D02866" w:rsidRPr="00D02866" w:rsidRDefault="00D02866" w:rsidP="00D02866">
            <w:pPr>
              <w:spacing w:before="120" w:after="120" w:line="360" w:lineRule="auto"/>
              <w:jc w:val="both"/>
              <w:rPr>
                <w:rFonts w:ascii="Arial" w:hAnsi="Arial" w:cs="Arial"/>
                <w:b/>
                <w:bCs/>
                <w:color w:val="25282A"/>
              </w:rPr>
            </w:pPr>
            <w:r w:rsidRPr="00D02866">
              <w:rPr>
                <w:rFonts w:ascii="Arial" w:hAnsi="Arial" w:cs="Arial"/>
                <w:b/>
                <w:bCs/>
                <w:color w:val="25282A"/>
              </w:rPr>
              <w:t>Reaktion</w:t>
            </w:r>
          </w:p>
        </w:tc>
        <w:tc>
          <w:tcPr>
            <w:tcW w:w="2835" w:type="dxa"/>
            <w:vAlign w:val="center"/>
          </w:tcPr>
          <w:p w14:paraId="758A956B" w14:textId="2800C4D3" w:rsidR="00D02866" w:rsidRDefault="00D02866" w:rsidP="00D02866">
            <w:pPr>
              <w:spacing w:before="120" w:after="120" w:line="360" w:lineRule="auto"/>
              <w:jc w:val="both"/>
              <w:rPr>
                <w:rFonts w:ascii="Arial" w:hAnsi="Arial" w:cs="Arial"/>
                <w:color w:val="25282A"/>
              </w:rPr>
            </w:pPr>
            <w:r w:rsidRPr="00D02866">
              <w:rPr>
                <w:rFonts w:ascii="Arial" w:hAnsi="Arial" w:cs="Arial"/>
                <w:b/>
                <w:bCs/>
                <w:color w:val="25282A"/>
              </w:rPr>
              <w:t>Mitigation / Workaround</w:t>
            </w:r>
          </w:p>
        </w:tc>
        <w:tc>
          <w:tcPr>
            <w:tcW w:w="3113" w:type="dxa"/>
            <w:vAlign w:val="center"/>
          </w:tcPr>
          <w:p w14:paraId="60932EB8" w14:textId="4520E097" w:rsidR="00D02866" w:rsidRDefault="00D02866" w:rsidP="00D02866">
            <w:pPr>
              <w:spacing w:before="120" w:after="120" w:line="360" w:lineRule="auto"/>
              <w:jc w:val="both"/>
              <w:rPr>
                <w:rFonts w:ascii="Arial" w:hAnsi="Arial" w:cs="Arial"/>
                <w:color w:val="25282A"/>
              </w:rPr>
            </w:pPr>
            <w:r w:rsidRPr="00D02866">
              <w:rPr>
                <w:rFonts w:ascii="Arial" w:hAnsi="Arial" w:cs="Arial"/>
                <w:b/>
                <w:bCs/>
                <w:color w:val="25282A"/>
              </w:rPr>
              <w:t>Ziel Wiederherstellung / Fix</w:t>
            </w:r>
          </w:p>
        </w:tc>
      </w:tr>
      <w:tr w:rsidR="00D02866" w14:paraId="43B32053" w14:textId="77777777">
        <w:tc>
          <w:tcPr>
            <w:tcW w:w="1240" w:type="dxa"/>
            <w:vAlign w:val="center"/>
          </w:tcPr>
          <w:p w14:paraId="47AE21E2" w14:textId="663CFD02"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S1</w:t>
            </w:r>
          </w:p>
        </w:tc>
        <w:tc>
          <w:tcPr>
            <w:tcW w:w="1874" w:type="dxa"/>
            <w:vAlign w:val="center"/>
          </w:tcPr>
          <w:p w14:paraId="7E56BC6E" w14:textId="752FDD34" w:rsidR="00D02866" w:rsidRP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 15 min</w:t>
            </w:r>
          </w:p>
        </w:tc>
        <w:tc>
          <w:tcPr>
            <w:tcW w:w="2835" w:type="dxa"/>
            <w:vAlign w:val="center"/>
          </w:tcPr>
          <w:p w14:paraId="6087C64A" w14:textId="415B870A"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 2 h</w:t>
            </w:r>
          </w:p>
        </w:tc>
        <w:tc>
          <w:tcPr>
            <w:tcW w:w="3113" w:type="dxa"/>
            <w:vAlign w:val="center"/>
          </w:tcPr>
          <w:p w14:paraId="53CEE850" w14:textId="2AA94370"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 4–8 h</w:t>
            </w:r>
          </w:p>
        </w:tc>
      </w:tr>
      <w:tr w:rsidR="00D02866" w14:paraId="1C7D0BF5" w14:textId="77777777">
        <w:tc>
          <w:tcPr>
            <w:tcW w:w="1240" w:type="dxa"/>
            <w:vAlign w:val="center"/>
          </w:tcPr>
          <w:p w14:paraId="49EBF322" w14:textId="480C3E3D"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S2</w:t>
            </w:r>
          </w:p>
        </w:tc>
        <w:tc>
          <w:tcPr>
            <w:tcW w:w="1874" w:type="dxa"/>
            <w:vAlign w:val="center"/>
          </w:tcPr>
          <w:p w14:paraId="7BDB372A" w14:textId="14A1F458" w:rsidR="00D02866" w:rsidRP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 60 min</w:t>
            </w:r>
          </w:p>
        </w:tc>
        <w:tc>
          <w:tcPr>
            <w:tcW w:w="2835" w:type="dxa"/>
            <w:vAlign w:val="center"/>
          </w:tcPr>
          <w:p w14:paraId="23E041F7" w14:textId="1EEDCAC6"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 8 h</w:t>
            </w:r>
          </w:p>
        </w:tc>
        <w:tc>
          <w:tcPr>
            <w:tcW w:w="3113" w:type="dxa"/>
            <w:vAlign w:val="center"/>
          </w:tcPr>
          <w:p w14:paraId="6D4F765F" w14:textId="52592E78"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 24 h</w:t>
            </w:r>
          </w:p>
        </w:tc>
      </w:tr>
      <w:tr w:rsidR="00D02866" w14:paraId="12BE4698" w14:textId="77777777">
        <w:tc>
          <w:tcPr>
            <w:tcW w:w="1240" w:type="dxa"/>
            <w:vAlign w:val="center"/>
          </w:tcPr>
          <w:p w14:paraId="044069C9" w14:textId="5857851A"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S3</w:t>
            </w:r>
          </w:p>
        </w:tc>
        <w:tc>
          <w:tcPr>
            <w:tcW w:w="1874" w:type="dxa"/>
            <w:vAlign w:val="center"/>
          </w:tcPr>
          <w:p w14:paraId="3626E4D7" w14:textId="2197D062" w:rsidR="00D02866" w:rsidRP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 4 h</w:t>
            </w:r>
          </w:p>
        </w:tc>
        <w:tc>
          <w:tcPr>
            <w:tcW w:w="2835" w:type="dxa"/>
            <w:vAlign w:val="center"/>
          </w:tcPr>
          <w:p w14:paraId="0D25D504" w14:textId="2C3FF7DE"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w:t>
            </w:r>
          </w:p>
        </w:tc>
        <w:tc>
          <w:tcPr>
            <w:tcW w:w="3113" w:type="dxa"/>
            <w:vAlign w:val="center"/>
          </w:tcPr>
          <w:p w14:paraId="7F69A3CF" w14:textId="10284D48"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 5 BT</w:t>
            </w:r>
          </w:p>
        </w:tc>
      </w:tr>
    </w:tbl>
    <w:p w14:paraId="1CA215A1" w14:textId="3A2D84D2" w:rsidR="00D02866" w:rsidRPr="00D02866" w:rsidRDefault="00D02866" w:rsidP="00D02866">
      <w:pPr>
        <w:pStyle w:val="Listenabsatz"/>
        <w:keepNext/>
        <w:numPr>
          <w:ilvl w:val="1"/>
          <w:numId w:val="12"/>
        </w:numPr>
        <w:spacing w:before="120" w:after="120" w:line="360" w:lineRule="auto"/>
        <w:ind w:left="567" w:hanging="567"/>
        <w:contextualSpacing w:val="0"/>
        <w:jc w:val="both"/>
        <w:rPr>
          <w:rFonts w:ascii="Arial" w:hAnsi="Arial" w:cs="Arial"/>
          <w:b/>
          <w:bCs/>
          <w:color w:val="25282A"/>
        </w:rPr>
      </w:pPr>
      <w:r w:rsidRPr="00D02866">
        <w:rPr>
          <w:rFonts w:ascii="Arial" w:hAnsi="Arial" w:cs="Arial"/>
          <w:b/>
          <w:bCs/>
          <w:color w:val="25282A"/>
        </w:rPr>
        <w:t>RTO, RPO und Serviceberichte</w:t>
      </w:r>
    </w:p>
    <w:p w14:paraId="11247BEF" w14:textId="77777777" w:rsidR="00D02866" w:rsidRP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Die konkreten Werte für RTO und RPO werden im Masterlizenzvertrag (Dokument 3.1) festgelegt. Typische Zielwerte sind:</w:t>
      </w:r>
    </w:p>
    <w:p w14:paraId="3FB34D60" w14:textId="77777777" w:rsidR="00D02866" w:rsidRPr="00D02866" w:rsidRDefault="00D02866" w:rsidP="00B90AA1">
      <w:pPr>
        <w:numPr>
          <w:ilvl w:val="0"/>
          <w:numId w:val="4"/>
        </w:numPr>
        <w:spacing w:before="120" w:after="120" w:line="360" w:lineRule="auto"/>
        <w:ind w:left="567" w:hanging="567"/>
        <w:jc w:val="both"/>
        <w:rPr>
          <w:rFonts w:ascii="Arial" w:hAnsi="Arial" w:cs="Arial"/>
          <w:color w:val="25282A"/>
        </w:rPr>
      </w:pPr>
      <w:r w:rsidRPr="00D02866">
        <w:rPr>
          <w:rFonts w:ascii="Arial" w:hAnsi="Arial" w:cs="Arial"/>
          <w:color w:val="25282A"/>
        </w:rPr>
        <w:t>Standard-Profil: RTO 8 bis 24 Stunden, RPO 1 bis 4 Stunden,</w:t>
      </w:r>
    </w:p>
    <w:p w14:paraId="5CAC35A3" w14:textId="77777777" w:rsidR="00D02866" w:rsidRPr="00D02866" w:rsidRDefault="00D02866" w:rsidP="00B90AA1">
      <w:pPr>
        <w:numPr>
          <w:ilvl w:val="0"/>
          <w:numId w:val="4"/>
        </w:numPr>
        <w:spacing w:before="120" w:after="120" w:line="360" w:lineRule="auto"/>
        <w:ind w:left="567" w:hanging="567"/>
        <w:jc w:val="both"/>
        <w:rPr>
          <w:rFonts w:ascii="Arial" w:hAnsi="Arial" w:cs="Arial"/>
          <w:color w:val="25282A"/>
        </w:rPr>
      </w:pPr>
      <w:r w:rsidRPr="00D02866">
        <w:rPr>
          <w:rFonts w:ascii="Arial" w:hAnsi="Arial" w:cs="Arial"/>
          <w:color w:val="25282A"/>
        </w:rPr>
        <w:t>KRITIS-Profil: RTO 1 bis 4 Stunden, RPO 5 bis 30 Minuten.</w:t>
      </w:r>
    </w:p>
    <w:p w14:paraId="40ABB5F1" w14:textId="77777777" w:rsidR="00B90AA1" w:rsidRPr="00B90AA1" w:rsidRDefault="00B90AA1" w:rsidP="00B90AA1">
      <w:pPr>
        <w:spacing w:before="120" w:after="120" w:line="360" w:lineRule="auto"/>
        <w:jc w:val="both"/>
        <w:rPr>
          <w:rFonts w:ascii="Arial" w:hAnsi="Arial" w:cs="Arial"/>
          <w:color w:val="25282A"/>
        </w:rPr>
      </w:pPr>
      <w:r w:rsidRPr="00B90AA1">
        <w:rPr>
          <w:rFonts w:ascii="Arial" w:hAnsi="Arial" w:cs="Arial"/>
          <w:color w:val="25282A"/>
        </w:rPr>
        <w:lastRenderedPageBreak/>
        <w:t>Eine verbindliche Zusage zu RTO und RPO ist nur zulässig, wenn Architektur sowie Backup- und Failover-Konzept des Anbieters dies tatsächlich ermöglichen.</w:t>
      </w:r>
    </w:p>
    <w:p w14:paraId="74F56AAA" w14:textId="166FA73C" w:rsidR="00D02866" w:rsidRPr="00D02866" w:rsidRDefault="00B90AA1" w:rsidP="00B90AA1">
      <w:pPr>
        <w:spacing w:before="120" w:after="120" w:line="360" w:lineRule="auto"/>
        <w:jc w:val="both"/>
        <w:rPr>
          <w:rFonts w:ascii="Arial" w:hAnsi="Arial" w:cs="Arial"/>
          <w:color w:val="25282A"/>
        </w:rPr>
      </w:pPr>
      <w:r w:rsidRPr="00B90AA1">
        <w:rPr>
          <w:rFonts w:ascii="Arial" w:hAnsi="Arial" w:cs="Arial"/>
          <w:color w:val="25282A"/>
        </w:rPr>
        <w:t xml:space="preserve">Monatliche Serviceberichte müssen mindestens Angaben zu Verfügbarkeit, </w:t>
      </w:r>
      <w:proofErr w:type="spellStart"/>
      <w:r w:rsidRPr="00B90AA1">
        <w:rPr>
          <w:rFonts w:ascii="Arial" w:hAnsi="Arial" w:cs="Arial"/>
          <w:color w:val="25282A"/>
        </w:rPr>
        <w:t>Incidents</w:t>
      </w:r>
      <w:proofErr w:type="spellEnd"/>
      <w:r w:rsidRPr="00B90AA1">
        <w:rPr>
          <w:rFonts w:ascii="Arial" w:hAnsi="Arial" w:cs="Arial"/>
          <w:color w:val="25282A"/>
        </w:rPr>
        <w:t xml:space="preserve">, MTTR, Releases und Security </w:t>
      </w:r>
      <w:proofErr w:type="spellStart"/>
      <w:r w:rsidRPr="00B90AA1">
        <w:rPr>
          <w:rFonts w:ascii="Arial" w:hAnsi="Arial" w:cs="Arial"/>
          <w:color w:val="25282A"/>
        </w:rPr>
        <w:t>Findings</w:t>
      </w:r>
      <w:proofErr w:type="spellEnd"/>
      <w:r w:rsidRPr="00B90AA1">
        <w:rPr>
          <w:rFonts w:ascii="Arial" w:hAnsi="Arial" w:cs="Arial"/>
          <w:color w:val="25282A"/>
        </w:rPr>
        <w:t xml:space="preserve"> enthalten. Für S1- und S2-Vorfälle ist eine Root </w:t>
      </w:r>
      <w:proofErr w:type="spellStart"/>
      <w:r w:rsidRPr="00B90AA1">
        <w:rPr>
          <w:rFonts w:ascii="Arial" w:hAnsi="Arial" w:cs="Arial"/>
          <w:color w:val="25282A"/>
        </w:rPr>
        <w:t>Cause</w:t>
      </w:r>
      <w:proofErr w:type="spellEnd"/>
      <w:r w:rsidRPr="00B90AA1">
        <w:rPr>
          <w:rFonts w:ascii="Arial" w:hAnsi="Arial" w:cs="Arial"/>
          <w:color w:val="25282A"/>
        </w:rPr>
        <w:t xml:space="preserve"> Analysis zu erstellen. Die Fristen betragen im Standard-Profil 10 Werktage und im KRITIS-Profil 5 Werktage.</w:t>
      </w:r>
    </w:p>
    <w:p w14:paraId="4647F2CE" w14:textId="541E48BE" w:rsidR="00D02866" w:rsidRPr="00D02866" w:rsidRDefault="00D02866" w:rsidP="00D02866">
      <w:pPr>
        <w:pStyle w:val="Listenabsatz"/>
        <w:keepNext/>
        <w:numPr>
          <w:ilvl w:val="0"/>
          <w:numId w:val="12"/>
        </w:numPr>
        <w:spacing w:before="120" w:after="120" w:line="360" w:lineRule="auto"/>
        <w:ind w:left="567" w:hanging="567"/>
        <w:contextualSpacing w:val="0"/>
        <w:jc w:val="both"/>
        <w:rPr>
          <w:rFonts w:ascii="Arial" w:hAnsi="Arial" w:cs="Arial"/>
          <w:b/>
          <w:bCs/>
          <w:color w:val="25282A"/>
        </w:rPr>
      </w:pPr>
      <w:r w:rsidRPr="00D02866">
        <w:rPr>
          <w:rFonts w:ascii="Arial" w:hAnsi="Arial" w:cs="Arial"/>
          <w:b/>
          <w:bCs/>
          <w:color w:val="25282A"/>
        </w:rPr>
        <w:t>ITSM-Prozesse und Support-Schnittstellen</w:t>
      </w:r>
    </w:p>
    <w:p w14:paraId="531C1143" w14:textId="77777777" w:rsidR="00B90AA1" w:rsidRPr="00B90AA1" w:rsidRDefault="00B90AA1" w:rsidP="00B90AA1">
      <w:pPr>
        <w:spacing w:before="120" w:after="120" w:line="360" w:lineRule="auto"/>
        <w:jc w:val="both"/>
        <w:rPr>
          <w:rFonts w:ascii="Arial" w:hAnsi="Arial" w:cs="Arial"/>
          <w:color w:val="25282A"/>
        </w:rPr>
      </w:pPr>
      <w:r w:rsidRPr="00B90AA1">
        <w:rPr>
          <w:rFonts w:ascii="Arial" w:hAnsi="Arial" w:cs="Arial"/>
          <w:color w:val="25282A"/>
        </w:rPr>
        <w:t xml:space="preserve">Alle Störungen und Anfragen werden im Ticketsystem von GovTech erfasst. Die </w:t>
      </w:r>
      <w:proofErr w:type="spellStart"/>
      <w:r w:rsidRPr="00B90AA1">
        <w:rPr>
          <w:rFonts w:ascii="Arial" w:hAnsi="Arial" w:cs="Arial"/>
          <w:color w:val="25282A"/>
        </w:rPr>
        <w:t>Severity</w:t>
      </w:r>
      <w:proofErr w:type="spellEnd"/>
      <w:r w:rsidRPr="00B90AA1">
        <w:rPr>
          <w:rFonts w:ascii="Arial" w:hAnsi="Arial" w:cs="Arial"/>
          <w:color w:val="25282A"/>
        </w:rPr>
        <w:t xml:space="preserve"> wird initial durch GovTech festgelegt. Umstufungen sind nur begründet im Ticket zulässig.</w:t>
      </w:r>
    </w:p>
    <w:p w14:paraId="76CF1812" w14:textId="77777777" w:rsidR="00B90AA1" w:rsidRPr="00B90AA1" w:rsidRDefault="00B90AA1" w:rsidP="00B90AA1">
      <w:pPr>
        <w:spacing w:before="120" w:after="120" w:line="360" w:lineRule="auto"/>
        <w:jc w:val="both"/>
        <w:rPr>
          <w:rFonts w:ascii="Arial" w:hAnsi="Arial" w:cs="Arial"/>
          <w:color w:val="25282A"/>
        </w:rPr>
      </w:pPr>
      <w:r w:rsidRPr="00B90AA1">
        <w:rPr>
          <w:rFonts w:ascii="Arial" w:hAnsi="Arial" w:cs="Arial"/>
          <w:color w:val="25282A"/>
        </w:rPr>
        <w:t>Für S1- und S2-Vorfälle sind bis zur Stabilisierung regelmäßige Status-Updates bereitzustellen. Für S1-Vorfälle erfolgt ein Update mindestens alle 60 Minuten, für S2-Vorfälle mindestens alle 4 Stunden.</w:t>
      </w:r>
    </w:p>
    <w:p w14:paraId="01DB577D" w14:textId="77777777" w:rsidR="00B90AA1" w:rsidRPr="00B90AA1" w:rsidRDefault="00B90AA1" w:rsidP="00B90AA1">
      <w:pPr>
        <w:spacing w:before="120" w:after="120" w:line="360" w:lineRule="auto"/>
        <w:jc w:val="both"/>
        <w:rPr>
          <w:rFonts w:ascii="Arial" w:hAnsi="Arial" w:cs="Arial"/>
          <w:color w:val="25282A"/>
        </w:rPr>
      </w:pPr>
      <w:r w:rsidRPr="00B90AA1">
        <w:rPr>
          <w:rFonts w:ascii="Arial" w:hAnsi="Arial" w:cs="Arial"/>
          <w:color w:val="25282A"/>
        </w:rPr>
        <w:t xml:space="preserve">Der Anbieter nimmt Störungen gemäß den vereinbarten Service Levels an, stellt eine Erstdiagnose bereit und erarbeitet Workarounds, </w:t>
      </w:r>
      <w:proofErr w:type="spellStart"/>
      <w:r w:rsidRPr="00B90AA1">
        <w:rPr>
          <w:rFonts w:ascii="Arial" w:hAnsi="Arial" w:cs="Arial"/>
          <w:color w:val="25282A"/>
        </w:rPr>
        <w:t>Mitigations</w:t>
      </w:r>
      <w:proofErr w:type="spellEnd"/>
      <w:r w:rsidRPr="00B90AA1">
        <w:rPr>
          <w:rFonts w:ascii="Arial" w:hAnsi="Arial" w:cs="Arial"/>
          <w:color w:val="25282A"/>
        </w:rPr>
        <w:t xml:space="preserve"> und dauerhafte Behebungen. Für S1- und S2-Vorfälle ist ein </w:t>
      </w:r>
      <w:proofErr w:type="spellStart"/>
      <w:r w:rsidRPr="00B90AA1">
        <w:rPr>
          <w:rFonts w:ascii="Arial" w:hAnsi="Arial" w:cs="Arial"/>
          <w:color w:val="25282A"/>
        </w:rPr>
        <w:t>Incident</w:t>
      </w:r>
      <w:proofErr w:type="spellEnd"/>
      <w:r w:rsidRPr="00B90AA1">
        <w:rPr>
          <w:rFonts w:ascii="Arial" w:hAnsi="Arial" w:cs="Arial"/>
          <w:color w:val="25282A"/>
        </w:rPr>
        <w:t xml:space="preserve"> Review mit Root </w:t>
      </w:r>
      <w:proofErr w:type="spellStart"/>
      <w:r w:rsidRPr="00B90AA1">
        <w:rPr>
          <w:rFonts w:ascii="Arial" w:hAnsi="Arial" w:cs="Arial"/>
          <w:color w:val="25282A"/>
        </w:rPr>
        <w:t>Cause</w:t>
      </w:r>
      <w:proofErr w:type="spellEnd"/>
      <w:r w:rsidRPr="00B90AA1">
        <w:rPr>
          <w:rFonts w:ascii="Arial" w:hAnsi="Arial" w:cs="Arial"/>
          <w:color w:val="25282A"/>
        </w:rPr>
        <w:t xml:space="preserve"> Analysis durchzuführen.</w:t>
      </w:r>
    </w:p>
    <w:p w14:paraId="56B80E15" w14:textId="77777777" w:rsidR="00B90AA1" w:rsidRPr="00B90AA1" w:rsidRDefault="00B90AA1" w:rsidP="00B90AA1">
      <w:pPr>
        <w:spacing w:before="120" w:after="120" w:line="360" w:lineRule="auto"/>
        <w:jc w:val="both"/>
        <w:rPr>
          <w:rFonts w:ascii="Arial" w:hAnsi="Arial" w:cs="Arial"/>
          <w:color w:val="25282A"/>
        </w:rPr>
      </w:pPr>
      <w:proofErr w:type="spellStart"/>
      <w:r w:rsidRPr="00B90AA1">
        <w:rPr>
          <w:rFonts w:ascii="Arial" w:hAnsi="Arial" w:cs="Arial"/>
          <w:color w:val="25282A"/>
        </w:rPr>
        <w:t>Changes</w:t>
      </w:r>
      <w:proofErr w:type="spellEnd"/>
      <w:r w:rsidRPr="00B90AA1">
        <w:rPr>
          <w:rFonts w:ascii="Arial" w:hAnsi="Arial" w:cs="Arial"/>
          <w:color w:val="25282A"/>
        </w:rPr>
        <w:t xml:space="preserve"> sind als </w:t>
      </w:r>
      <w:proofErr w:type="gramStart"/>
      <w:r w:rsidRPr="00B90AA1">
        <w:rPr>
          <w:rFonts w:ascii="Arial" w:hAnsi="Arial" w:cs="Arial"/>
          <w:color w:val="25282A"/>
        </w:rPr>
        <w:t>Standard Change</w:t>
      </w:r>
      <w:proofErr w:type="gramEnd"/>
      <w:r w:rsidRPr="00B90AA1">
        <w:rPr>
          <w:rFonts w:ascii="Arial" w:hAnsi="Arial" w:cs="Arial"/>
          <w:color w:val="25282A"/>
        </w:rPr>
        <w:t xml:space="preserve">, </w:t>
      </w:r>
      <w:proofErr w:type="gramStart"/>
      <w:r w:rsidRPr="00B90AA1">
        <w:rPr>
          <w:rFonts w:ascii="Arial" w:hAnsi="Arial" w:cs="Arial"/>
          <w:color w:val="25282A"/>
        </w:rPr>
        <w:t>Normal Change</w:t>
      </w:r>
      <w:proofErr w:type="gramEnd"/>
      <w:r w:rsidRPr="00B90AA1">
        <w:rPr>
          <w:rFonts w:ascii="Arial" w:hAnsi="Arial" w:cs="Arial"/>
          <w:color w:val="25282A"/>
        </w:rPr>
        <w:t xml:space="preserve"> oder Emergency Change zu klassifizieren. Jeder Change muss mindestens eine Risikoanalyse, einen Rollback-Plan, Testnachweise, einen Kommunikationsplan und eine Terminierung enthalten. Emergency </w:t>
      </w:r>
      <w:proofErr w:type="spellStart"/>
      <w:r w:rsidRPr="00B90AA1">
        <w:rPr>
          <w:rFonts w:ascii="Arial" w:hAnsi="Arial" w:cs="Arial"/>
          <w:color w:val="25282A"/>
        </w:rPr>
        <w:t>Changes</w:t>
      </w:r>
      <w:proofErr w:type="spellEnd"/>
      <w:r w:rsidRPr="00B90AA1">
        <w:rPr>
          <w:rFonts w:ascii="Arial" w:hAnsi="Arial" w:cs="Arial"/>
          <w:color w:val="25282A"/>
        </w:rPr>
        <w:t xml:space="preserve"> sind bei S1-Vorfällen oder sicherheitsrelevanten Lagen zulässig und müssen nachträglich dokumentiert und bewertet werden.</w:t>
      </w:r>
    </w:p>
    <w:p w14:paraId="08B6414D" w14:textId="2906E5BB" w:rsidR="00D02866" w:rsidRPr="00D02866" w:rsidRDefault="00D02866" w:rsidP="00D02866">
      <w:pPr>
        <w:pStyle w:val="Listenabsatz"/>
        <w:keepNext/>
        <w:numPr>
          <w:ilvl w:val="0"/>
          <w:numId w:val="12"/>
        </w:numPr>
        <w:spacing w:before="120" w:after="120" w:line="360" w:lineRule="auto"/>
        <w:ind w:left="567" w:hanging="567"/>
        <w:contextualSpacing w:val="0"/>
        <w:jc w:val="both"/>
        <w:rPr>
          <w:rFonts w:ascii="Arial" w:hAnsi="Arial" w:cs="Arial"/>
          <w:b/>
          <w:bCs/>
          <w:color w:val="25282A"/>
        </w:rPr>
      </w:pPr>
      <w:r w:rsidRPr="00D02866">
        <w:rPr>
          <w:rFonts w:ascii="Arial" w:hAnsi="Arial" w:cs="Arial"/>
          <w:b/>
          <w:bCs/>
          <w:color w:val="25282A"/>
        </w:rPr>
        <w:t>Security, Compliance und Datenschutz</w:t>
      </w:r>
    </w:p>
    <w:p w14:paraId="52F3D5BA" w14:textId="0F755A2E" w:rsidR="00D02866" w:rsidRPr="00D02866" w:rsidRDefault="00D02866" w:rsidP="00D02866">
      <w:pPr>
        <w:pStyle w:val="Listenabsatz"/>
        <w:keepNext/>
        <w:numPr>
          <w:ilvl w:val="1"/>
          <w:numId w:val="12"/>
        </w:numPr>
        <w:spacing w:before="120" w:after="120" w:line="360" w:lineRule="auto"/>
        <w:ind w:left="567" w:hanging="567"/>
        <w:contextualSpacing w:val="0"/>
        <w:jc w:val="both"/>
        <w:rPr>
          <w:rFonts w:ascii="Arial" w:hAnsi="Arial" w:cs="Arial"/>
          <w:b/>
          <w:bCs/>
          <w:color w:val="25282A"/>
        </w:rPr>
      </w:pPr>
      <w:r w:rsidRPr="00D02866">
        <w:rPr>
          <w:rFonts w:ascii="Arial" w:hAnsi="Arial" w:cs="Arial"/>
          <w:b/>
          <w:bCs/>
          <w:color w:val="25282A"/>
        </w:rPr>
        <w:t>Sicherheitsprüfungen</w:t>
      </w:r>
    </w:p>
    <w:p w14:paraId="1CF08C94" w14:textId="77777777" w:rsidR="00B90AA1" w:rsidRPr="00B90AA1" w:rsidRDefault="00B90AA1" w:rsidP="00B90AA1">
      <w:pPr>
        <w:spacing w:before="120" w:after="120" w:line="360" w:lineRule="auto"/>
        <w:jc w:val="both"/>
        <w:rPr>
          <w:rFonts w:ascii="Arial" w:hAnsi="Arial" w:cs="Arial"/>
          <w:color w:val="25282A"/>
        </w:rPr>
      </w:pPr>
      <w:r w:rsidRPr="00B90AA1">
        <w:rPr>
          <w:rFonts w:ascii="Arial" w:hAnsi="Arial" w:cs="Arial"/>
          <w:color w:val="25282A"/>
        </w:rPr>
        <w:t>Der Anbieter stimmt automatisierten und manuellen Sicherheitsprüfungen zu. Hierzu zählen insbesondere Image-Scanning, SAST, DAST und Penetrationstests durch autorisierte Stellen.</w:t>
      </w:r>
    </w:p>
    <w:p w14:paraId="170AE90F" w14:textId="534DBC6B" w:rsidR="00D02866" w:rsidRPr="00D02866" w:rsidRDefault="00B90AA1" w:rsidP="00B90AA1">
      <w:pPr>
        <w:spacing w:before="120" w:after="120" w:line="360" w:lineRule="auto"/>
        <w:jc w:val="both"/>
        <w:rPr>
          <w:rFonts w:ascii="Arial" w:hAnsi="Arial" w:cs="Arial"/>
          <w:color w:val="25282A"/>
        </w:rPr>
      </w:pPr>
      <w:r w:rsidRPr="00B90AA1">
        <w:rPr>
          <w:rFonts w:ascii="Arial" w:hAnsi="Arial" w:cs="Arial"/>
          <w:color w:val="25282A"/>
        </w:rPr>
        <w:t>Festgestellte Schwachstellen sind prioritätsgerecht zu beheben. Ausnahmen sind nur auf Grundlage einer dokumentierten Risikoakzeptanz durch GovTech zulässig.</w:t>
      </w:r>
    </w:p>
    <w:p w14:paraId="189B9B39" w14:textId="36C55982" w:rsidR="00D02866" w:rsidRDefault="00D02866" w:rsidP="00D02866">
      <w:pPr>
        <w:pStyle w:val="Listenabsatz"/>
        <w:keepNext/>
        <w:numPr>
          <w:ilvl w:val="1"/>
          <w:numId w:val="12"/>
        </w:numPr>
        <w:spacing w:before="120" w:after="120" w:line="360" w:lineRule="auto"/>
        <w:ind w:left="567" w:hanging="567"/>
        <w:contextualSpacing w:val="0"/>
        <w:jc w:val="both"/>
        <w:rPr>
          <w:rFonts w:ascii="Arial" w:hAnsi="Arial" w:cs="Arial"/>
          <w:b/>
          <w:bCs/>
          <w:color w:val="25282A"/>
        </w:rPr>
      </w:pPr>
      <w:r w:rsidRPr="00D02866">
        <w:rPr>
          <w:rFonts w:ascii="Arial" w:hAnsi="Arial" w:cs="Arial"/>
          <w:b/>
          <w:bCs/>
          <w:color w:val="25282A"/>
        </w:rPr>
        <w:lastRenderedPageBreak/>
        <w:t xml:space="preserve">Patch- und </w:t>
      </w:r>
      <w:proofErr w:type="spellStart"/>
      <w:r w:rsidRPr="00D02866">
        <w:rPr>
          <w:rFonts w:ascii="Arial" w:hAnsi="Arial" w:cs="Arial"/>
          <w:b/>
          <w:bCs/>
          <w:color w:val="25282A"/>
        </w:rPr>
        <w:t>Remediation</w:t>
      </w:r>
      <w:proofErr w:type="spellEnd"/>
      <w:r w:rsidRPr="00D02866">
        <w:rPr>
          <w:rFonts w:ascii="Arial" w:hAnsi="Arial" w:cs="Arial"/>
          <w:b/>
          <w:bCs/>
          <w:color w:val="25282A"/>
        </w:rPr>
        <w:t>-Fristen</w:t>
      </w:r>
    </w:p>
    <w:tbl>
      <w:tblPr>
        <w:tblStyle w:val="Tabellenraster"/>
        <w:tblW w:w="0" w:type="auto"/>
        <w:tblLook w:val="04A0" w:firstRow="1" w:lastRow="0" w:firstColumn="1" w:lastColumn="0" w:noHBand="0" w:noVBand="1"/>
      </w:tblPr>
      <w:tblGrid>
        <w:gridCol w:w="1555"/>
        <w:gridCol w:w="4486"/>
        <w:gridCol w:w="3021"/>
      </w:tblGrid>
      <w:tr w:rsidR="00D02866" w14:paraId="28109E7E" w14:textId="77777777">
        <w:tc>
          <w:tcPr>
            <w:tcW w:w="1555" w:type="dxa"/>
            <w:vAlign w:val="center"/>
          </w:tcPr>
          <w:p w14:paraId="153EC590" w14:textId="5746C49E" w:rsidR="00D02866" w:rsidRDefault="00D02866" w:rsidP="004579B9">
            <w:pPr>
              <w:keepNext/>
              <w:spacing w:before="120" w:after="120" w:line="360" w:lineRule="auto"/>
              <w:jc w:val="both"/>
              <w:rPr>
                <w:rFonts w:ascii="Arial" w:hAnsi="Arial" w:cs="Arial"/>
                <w:color w:val="25282A"/>
              </w:rPr>
            </w:pPr>
            <w:r w:rsidRPr="00D02866">
              <w:rPr>
                <w:rFonts w:ascii="Arial" w:hAnsi="Arial" w:cs="Arial"/>
                <w:b/>
                <w:bCs/>
                <w:color w:val="25282A"/>
              </w:rPr>
              <w:t>Schweregrad</w:t>
            </w:r>
          </w:p>
        </w:tc>
        <w:tc>
          <w:tcPr>
            <w:tcW w:w="4486" w:type="dxa"/>
            <w:vAlign w:val="center"/>
          </w:tcPr>
          <w:p w14:paraId="242DD977" w14:textId="66974E96" w:rsidR="00D02866" w:rsidRDefault="00D02866" w:rsidP="004579B9">
            <w:pPr>
              <w:keepNext/>
              <w:spacing w:before="120" w:after="120" w:line="360" w:lineRule="auto"/>
              <w:jc w:val="both"/>
              <w:rPr>
                <w:rFonts w:ascii="Arial" w:hAnsi="Arial" w:cs="Arial"/>
                <w:color w:val="25282A"/>
              </w:rPr>
            </w:pPr>
            <w:r w:rsidRPr="00D02866">
              <w:rPr>
                <w:rFonts w:ascii="Arial" w:hAnsi="Arial" w:cs="Arial"/>
                <w:b/>
                <w:bCs/>
                <w:color w:val="25282A"/>
              </w:rPr>
              <w:t>Standard-Profil</w:t>
            </w:r>
          </w:p>
        </w:tc>
        <w:tc>
          <w:tcPr>
            <w:tcW w:w="3021" w:type="dxa"/>
            <w:vAlign w:val="center"/>
          </w:tcPr>
          <w:p w14:paraId="0DFC6DE5" w14:textId="2BBA6EAB" w:rsidR="00D02866" w:rsidRDefault="00D02866" w:rsidP="004579B9">
            <w:pPr>
              <w:keepNext/>
              <w:spacing w:before="120" w:after="120" w:line="360" w:lineRule="auto"/>
              <w:jc w:val="both"/>
              <w:rPr>
                <w:rFonts w:ascii="Arial" w:hAnsi="Arial" w:cs="Arial"/>
                <w:color w:val="25282A"/>
              </w:rPr>
            </w:pPr>
            <w:r w:rsidRPr="00D02866">
              <w:rPr>
                <w:rFonts w:ascii="Arial" w:hAnsi="Arial" w:cs="Arial"/>
                <w:b/>
                <w:bCs/>
                <w:color w:val="25282A"/>
              </w:rPr>
              <w:t>KRITIS-Profil</w:t>
            </w:r>
          </w:p>
        </w:tc>
      </w:tr>
      <w:tr w:rsidR="00D02866" w14:paraId="611E155C" w14:textId="77777777">
        <w:tc>
          <w:tcPr>
            <w:tcW w:w="1555" w:type="dxa"/>
            <w:vAlign w:val="center"/>
          </w:tcPr>
          <w:p w14:paraId="209D195F" w14:textId="37D20C63"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Kritisch</w:t>
            </w:r>
          </w:p>
        </w:tc>
        <w:tc>
          <w:tcPr>
            <w:tcW w:w="4486" w:type="dxa"/>
            <w:vAlign w:val="center"/>
          </w:tcPr>
          <w:p w14:paraId="45E323EF" w14:textId="68948B2E"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 15 Tage</w:t>
            </w:r>
          </w:p>
        </w:tc>
        <w:tc>
          <w:tcPr>
            <w:tcW w:w="3021" w:type="dxa"/>
            <w:vAlign w:val="center"/>
          </w:tcPr>
          <w:p w14:paraId="35E65A2C" w14:textId="615F5B3B"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 7 Tage oder Workaround ≤ 72 h</w:t>
            </w:r>
          </w:p>
        </w:tc>
      </w:tr>
      <w:tr w:rsidR="00D02866" w14:paraId="36F714BF" w14:textId="77777777">
        <w:tc>
          <w:tcPr>
            <w:tcW w:w="1555" w:type="dxa"/>
            <w:vAlign w:val="center"/>
          </w:tcPr>
          <w:p w14:paraId="5A266048" w14:textId="6AE43CBC"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Hoch</w:t>
            </w:r>
          </w:p>
        </w:tc>
        <w:tc>
          <w:tcPr>
            <w:tcW w:w="4486" w:type="dxa"/>
            <w:vAlign w:val="center"/>
          </w:tcPr>
          <w:p w14:paraId="0D489FA6" w14:textId="459529D6"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 30 Tage</w:t>
            </w:r>
          </w:p>
        </w:tc>
        <w:tc>
          <w:tcPr>
            <w:tcW w:w="3021" w:type="dxa"/>
            <w:vAlign w:val="center"/>
          </w:tcPr>
          <w:p w14:paraId="36214F97" w14:textId="7C73E469"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 30 Tage</w:t>
            </w:r>
          </w:p>
        </w:tc>
      </w:tr>
      <w:tr w:rsidR="00D02866" w14:paraId="138B1525" w14:textId="77777777">
        <w:tc>
          <w:tcPr>
            <w:tcW w:w="1555" w:type="dxa"/>
            <w:vAlign w:val="center"/>
          </w:tcPr>
          <w:p w14:paraId="3FE3A267" w14:textId="1B7F4F9A"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Mittel</w:t>
            </w:r>
          </w:p>
        </w:tc>
        <w:tc>
          <w:tcPr>
            <w:tcW w:w="4486" w:type="dxa"/>
            <w:vAlign w:val="center"/>
          </w:tcPr>
          <w:p w14:paraId="1ADA1A0B" w14:textId="4BF6F285"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 90 Tage</w:t>
            </w:r>
          </w:p>
        </w:tc>
        <w:tc>
          <w:tcPr>
            <w:tcW w:w="3021" w:type="dxa"/>
            <w:vAlign w:val="center"/>
          </w:tcPr>
          <w:p w14:paraId="3C25DC8E" w14:textId="5550D030"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 60 Tage</w:t>
            </w:r>
          </w:p>
        </w:tc>
      </w:tr>
      <w:tr w:rsidR="00D02866" w14:paraId="4E17C6B1" w14:textId="77777777">
        <w:tc>
          <w:tcPr>
            <w:tcW w:w="1555" w:type="dxa"/>
            <w:vAlign w:val="center"/>
          </w:tcPr>
          <w:p w14:paraId="59B6F2F3" w14:textId="4274B3E9"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Niedrig</w:t>
            </w:r>
          </w:p>
        </w:tc>
        <w:tc>
          <w:tcPr>
            <w:tcW w:w="4486" w:type="dxa"/>
            <w:vAlign w:val="center"/>
          </w:tcPr>
          <w:p w14:paraId="5A932B31" w14:textId="76B7D5F0"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 180 Tage / nächstes Release</w:t>
            </w:r>
          </w:p>
        </w:tc>
        <w:tc>
          <w:tcPr>
            <w:tcW w:w="3021" w:type="dxa"/>
            <w:vAlign w:val="center"/>
          </w:tcPr>
          <w:p w14:paraId="5AECEB9D" w14:textId="197A4DD6" w:rsidR="00D02866" w:rsidRDefault="00D02866" w:rsidP="00D02866">
            <w:pPr>
              <w:spacing w:before="120" w:after="120" w:line="360" w:lineRule="auto"/>
              <w:jc w:val="both"/>
              <w:rPr>
                <w:rFonts w:ascii="Arial" w:hAnsi="Arial" w:cs="Arial"/>
                <w:color w:val="25282A"/>
              </w:rPr>
            </w:pPr>
            <w:r w:rsidRPr="00D02866">
              <w:rPr>
                <w:rFonts w:ascii="Arial" w:hAnsi="Arial" w:cs="Arial"/>
                <w:color w:val="25282A"/>
              </w:rPr>
              <w:t>≤ 90–180 Tage</w:t>
            </w:r>
          </w:p>
        </w:tc>
      </w:tr>
    </w:tbl>
    <w:p w14:paraId="1BC11B11" w14:textId="1D22D660" w:rsidR="00D02866" w:rsidRPr="00D02866" w:rsidRDefault="00D02866" w:rsidP="00D02866">
      <w:pPr>
        <w:pStyle w:val="Listenabsatz"/>
        <w:keepNext/>
        <w:numPr>
          <w:ilvl w:val="1"/>
          <w:numId w:val="12"/>
        </w:numPr>
        <w:spacing w:before="120" w:after="120" w:line="360" w:lineRule="auto"/>
        <w:ind w:left="567" w:hanging="567"/>
        <w:contextualSpacing w:val="0"/>
        <w:jc w:val="both"/>
        <w:rPr>
          <w:rFonts w:ascii="Arial" w:hAnsi="Arial" w:cs="Arial"/>
          <w:b/>
          <w:bCs/>
          <w:color w:val="25282A"/>
        </w:rPr>
      </w:pPr>
      <w:r w:rsidRPr="00D02866">
        <w:rPr>
          <w:rFonts w:ascii="Arial" w:hAnsi="Arial" w:cs="Arial"/>
          <w:b/>
          <w:bCs/>
          <w:color w:val="25282A"/>
        </w:rPr>
        <w:t>Datenschutz</w:t>
      </w:r>
    </w:p>
    <w:p w14:paraId="6F7A5309" w14:textId="77777777" w:rsidR="00B90AA1" w:rsidRPr="00B90AA1" w:rsidRDefault="00B90AA1" w:rsidP="00B90AA1">
      <w:pPr>
        <w:spacing w:before="120" w:after="120" w:line="360" w:lineRule="auto"/>
        <w:jc w:val="both"/>
        <w:rPr>
          <w:rFonts w:ascii="Arial" w:hAnsi="Arial" w:cs="Arial"/>
          <w:color w:val="25282A"/>
        </w:rPr>
      </w:pPr>
      <w:r w:rsidRPr="00B90AA1">
        <w:rPr>
          <w:rFonts w:ascii="Arial" w:hAnsi="Arial" w:cs="Arial"/>
          <w:color w:val="25282A"/>
        </w:rPr>
        <w:t>Soweit die Anwendung personenbezogene Daten verarbeitet, ist der Auftragsverarbeitungsvertrag (Dokument 3.2) als Vertragsbestandteil zu schließen. Sub-Auftragsverarbeiter dürfen nur nach vorheriger Freigabe durch GovTech und mit entsprechender vertraglicher Durchbindung eingesetzt werden.</w:t>
      </w:r>
    </w:p>
    <w:p w14:paraId="3323F384" w14:textId="082DB2A2" w:rsidR="00D02866" w:rsidRPr="00D02866" w:rsidRDefault="00B90AA1" w:rsidP="00B90AA1">
      <w:pPr>
        <w:spacing w:before="120" w:after="120" w:line="360" w:lineRule="auto"/>
        <w:jc w:val="both"/>
        <w:rPr>
          <w:rFonts w:ascii="Arial" w:hAnsi="Arial" w:cs="Arial"/>
          <w:color w:val="25282A"/>
        </w:rPr>
      </w:pPr>
      <w:r w:rsidRPr="00B90AA1">
        <w:rPr>
          <w:rFonts w:ascii="Arial" w:hAnsi="Arial" w:cs="Arial"/>
          <w:color w:val="25282A"/>
        </w:rPr>
        <w:t>Sicherheitsvorfälle sind GovTech unverzüglich zu melden. Der Anbieter unterstützt GovTech bei Analyse, Eindämmung, Behebung und Dokumentation. Gesetzliche Melde</w:t>
      </w:r>
      <w:r w:rsidR="009D04EE">
        <w:rPr>
          <w:rFonts w:ascii="Arial" w:hAnsi="Arial" w:cs="Arial"/>
          <w:color w:val="25282A"/>
        </w:rPr>
        <w:t>- und Lösch</w:t>
      </w:r>
      <w:r w:rsidRPr="00B90AA1">
        <w:rPr>
          <w:rFonts w:ascii="Arial" w:hAnsi="Arial" w:cs="Arial"/>
          <w:color w:val="25282A"/>
        </w:rPr>
        <w:t>pflichten – insbesondere nach der DSGVO – sind fristgerecht und in enger Abstimmung mit GovTech zu erfüllen.</w:t>
      </w:r>
    </w:p>
    <w:p w14:paraId="1C972D13" w14:textId="5F2346B3" w:rsidR="00D02866" w:rsidRPr="00D02866" w:rsidRDefault="00D02866" w:rsidP="00D02866">
      <w:pPr>
        <w:pStyle w:val="Listenabsatz"/>
        <w:keepNext/>
        <w:numPr>
          <w:ilvl w:val="0"/>
          <w:numId w:val="12"/>
        </w:numPr>
        <w:spacing w:before="120" w:after="120" w:line="360" w:lineRule="auto"/>
        <w:ind w:left="567" w:hanging="567"/>
        <w:contextualSpacing w:val="0"/>
        <w:jc w:val="both"/>
        <w:rPr>
          <w:rFonts w:ascii="Arial" w:hAnsi="Arial" w:cs="Arial"/>
          <w:b/>
          <w:bCs/>
          <w:color w:val="25282A"/>
        </w:rPr>
      </w:pPr>
      <w:r w:rsidRPr="00D02866">
        <w:rPr>
          <w:rFonts w:ascii="Arial" w:hAnsi="Arial" w:cs="Arial"/>
          <w:b/>
          <w:bCs/>
          <w:color w:val="25282A"/>
        </w:rPr>
        <w:t>Exit, Portabilität und Übergabe</w:t>
      </w:r>
    </w:p>
    <w:p w14:paraId="6EA8F064" w14:textId="03E4BC77" w:rsidR="00D02866" w:rsidRPr="00D02866" w:rsidRDefault="00D02866" w:rsidP="00D02866">
      <w:pPr>
        <w:pStyle w:val="Listenabsatz"/>
        <w:keepNext/>
        <w:numPr>
          <w:ilvl w:val="1"/>
          <w:numId w:val="12"/>
        </w:numPr>
        <w:spacing w:before="120" w:after="120" w:line="360" w:lineRule="auto"/>
        <w:ind w:left="567" w:hanging="567"/>
        <w:contextualSpacing w:val="0"/>
        <w:jc w:val="both"/>
        <w:rPr>
          <w:rFonts w:ascii="Arial" w:hAnsi="Arial" w:cs="Arial"/>
          <w:b/>
          <w:bCs/>
          <w:color w:val="25282A"/>
        </w:rPr>
      </w:pPr>
      <w:r w:rsidRPr="00D02866">
        <w:rPr>
          <w:rFonts w:ascii="Arial" w:hAnsi="Arial" w:cs="Arial"/>
          <w:b/>
          <w:bCs/>
          <w:color w:val="25282A"/>
        </w:rPr>
        <w:t>Vendor-Exit und Portabilität</w:t>
      </w:r>
    </w:p>
    <w:p w14:paraId="35BF1394" w14:textId="77777777" w:rsidR="00B90AA1" w:rsidRPr="00B90AA1" w:rsidRDefault="00B90AA1" w:rsidP="00B90AA1">
      <w:pPr>
        <w:spacing w:before="120" w:after="120" w:line="360" w:lineRule="auto"/>
        <w:jc w:val="both"/>
        <w:rPr>
          <w:rFonts w:ascii="Arial" w:hAnsi="Arial" w:cs="Arial"/>
          <w:color w:val="25282A"/>
        </w:rPr>
      </w:pPr>
      <w:r w:rsidRPr="00B90AA1">
        <w:rPr>
          <w:rFonts w:ascii="Arial" w:hAnsi="Arial" w:cs="Arial"/>
          <w:color w:val="25282A"/>
        </w:rPr>
        <w:t>Der Anbieter hat sicherzustellen, dass ein Vendor-Exit ohne unzulässigen Vendor-Lock-</w:t>
      </w:r>
      <w:proofErr w:type="spellStart"/>
      <w:r w:rsidRPr="00B90AA1">
        <w:rPr>
          <w:rFonts w:ascii="Arial" w:hAnsi="Arial" w:cs="Arial"/>
          <w:color w:val="25282A"/>
        </w:rPr>
        <w:t>in</w:t>
      </w:r>
      <w:proofErr w:type="spellEnd"/>
      <w:r w:rsidRPr="00B90AA1">
        <w:rPr>
          <w:rFonts w:ascii="Arial" w:hAnsi="Arial" w:cs="Arial"/>
          <w:color w:val="25282A"/>
        </w:rPr>
        <w:t xml:space="preserve"> möglich ist. Nach Vertragsende sind eine geordnete Stilllegung, ein vollständiger Datenexport und die nachweisliche Löschung der Daten sicherzustellen.</w:t>
      </w:r>
    </w:p>
    <w:p w14:paraId="44971109" w14:textId="13E807E0" w:rsidR="00D02866" w:rsidRPr="00D02866" w:rsidRDefault="00B90AA1" w:rsidP="00B90AA1">
      <w:pPr>
        <w:spacing w:before="120" w:after="120" w:line="360" w:lineRule="auto"/>
        <w:jc w:val="both"/>
        <w:rPr>
          <w:rFonts w:ascii="Arial" w:hAnsi="Arial" w:cs="Arial"/>
          <w:color w:val="25282A"/>
        </w:rPr>
      </w:pPr>
      <w:r w:rsidRPr="00B90AA1">
        <w:rPr>
          <w:rFonts w:ascii="Arial" w:hAnsi="Arial" w:cs="Arial"/>
          <w:color w:val="25282A"/>
        </w:rPr>
        <w:t xml:space="preserve">Der Anbieter muss den Export der Anwendungsdaten in offenen, dokumentierten Formaten ermöglichen, </w:t>
      </w:r>
      <w:r w:rsidR="00C760B2">
        <w:rPr>
          <w:rFonts w:ascii="Arial" w:hAnsi="Arial" w:cs="Arial"/>
          <w:color w:val="25282A"/>
        </w:rPr>
        <w:t>z.B.</w:t>
      </w:r>
      <w:r w:rsidR="00C760B2" w:rsidRPr="00B90AA1">
        <w:rPr>
          <w:rFonts w:ascii="Arial" w:hAnsi="Arial" w:cs="Arial"/>
          <w:color w:val="25282A"/>
        </w:rPr>
        <w:t xml:space="preserve"> </w:t>
      </w:r>
      <w:r w:rsidRPr="00B90AA1">
        <w:rPr>
          <w:rFonts w:ascii="Arial" w:hAnsi="Arial" w:cs="Arial"/>
          <w:color w:val="25282A"/>
        </w:rPr>
        <w:t xml:space="preserve">als SQL-Dump, CSV oder JSON. Eine vollständige Beschreibung des Datenmodells und der erforderlichen Metadaten </w:t>
      </w:r>
      <w:r w:rsidR="00974F0A">
        <w:rPr>
          <w:rFonts w:ascii="Arial" w:hAnsi="Arial" w:cs="Arial"/>
          <w:color w:val="25282A"/>
        </w:rPr>
        <w:t>sind</w:t>
      </w:r>
      <w:r w:rsidR="00974F0A" w:rsidRPr="00B90AA1">
        <w:rPr>
          <w:rFonts w:ascii="Arial" w:hAnsi="Arial" w:cs="Arial"/>
          <w:color w:val="25282A"/>
        </w:rPr>
        <w:t xml:space="preserve"> </w:t>
      </w:r>
      <w:r w:rsidRPr="00B90AA1">
        <w:rPr>
          <w:rFonts w:ascii="Arial" w:hAnsi="Arial" w:cs="Arial"/>
          <w:color w:val="25282A"/>
        </w:rPr>
        <w:t>bereitzustellen.</w:t>
      </w:r>
    </w:p>
    <w:p w14:paraId="22695D0F" w14:textId="75D80052" w:rsidR="00D02866" w:rsidRPr="00D02866" w:rsidRDefault="00D02866" w:rsidP="00D02866">
      <w:pPr>
        <w:pStyle w:val="Listenabsatz"/>
        <w:keepNext/>
        <w:numPr>
          <w:ilvl w:val="1"/>
          <w:numId w:val="12"/>
        </w:numPr>
        <w:spacing w:before="120" w:after="120" w:line="360" w:lineRule="auto"/>
        <w:ind w:left="567" w:hanging="567"/>
        <w:contextualSpacing w:val="0"/>
        <w:jc w:val="both"/>
        <w:rPr>
          <w:rFonts w:ascii="Arial" w:hAnsi="Arial" w:cs="Arial"/>
          <w:b/>
          <w:bCs/>
          <w:color w:val="25282A"/>
        </w:rPr>
      </w:pPr>
      <w:r w:rsidRPr="00D02866">
        <w:rPr>
          <w:rFonts w:ascii="Arial" w:hAnsi="Arial" w:cs="Arial"/>
          <w:color w:val="25282A"/>
        </w:rPr>
        <w:lastRenderedPageBreak/>
        <w:t xml:space="preserve">Daten sind nach Weisung von GovTech zu löschen oder zu übergeben. Der Anbieter hat entsprechende Lösch- und Übergabenachweise einschließlich der betroffenen Backups </w:t>
      </w:r>
      <w:proofErr w:type="spellStart"/>
      <w:proofErr w:type="gramStart"/>
      <w:r w:rsidRPr="00D02866">
        <w:rPr>
          <w:rFonts w:ascii="Arial" w:hAnsi="Arial" w:cs="Arial"/>
          <w:color w:val="25282A"/>
        </w:rPr>
        <w:t>bereitzustellen.</w:t>
      </w:r>
      <w:r w:rsidRPr="00D02866">
        <w:rPr>
          <w:rFonts w:ascii="Arial" w:hAnsi="Arial" w:cs="Arial"/>
          <w:b/>
          <w:bCs/>
          <w:color w:val="25282A"/>
        </w:rPr>
        <w:t>Transition</w:t>
      </w:r>
      <w:proofErr w:type="spellEnd"/>
      <w:proofErr w:type="gramEnd"/>
      <w:r w:rsidRPr="00D02866">
        <w:rPr>
          <w:rFonts w:ascii="Arial" w:hAnsi="Arial" w:cs="Arial"/>
          <w:b/>
          <w:bCs/>
          <w:color w:val="25282A"/>
        </w:rPr>
        <w:t xml:space="preserve"> Support</w:t>
      </w:r>
    </w:p>
    <w:p w14:paraId="3F23CA29" w14:textId="30547352" w:rsidR="00D02866" w:rsidRDefault="00B90AA1" w:rsidP="00D02866">
      <w:pPr>
        <w:spacing w:before="120" w:after="120" w:line="360" w:lineRule="auto"/>
        <w:jc w:val="both"/>
        <w:rPr>
          <w:rFonts w:ascii="Arial" w:hAnsi="Arial" w:cs="Arial"/>
          <w:color w:val="25282A"/>
        </w:rPr>
      </w:pPr>
      <w:r w:rsidRPr="00B90AA1">
        <w:rPr>
          <w:rFonts w:ascii="Arial" w:hAnsi="Arial" w:cs="Arial"/>
          <w:color w:val="25282A"/>
        </w:rPr>
        <w:t>Der Anbieter ist verpflichtet, Transition Support zu leisten. Umfang und Dauer des Transition Supports – insbesondere definierte Personentage für Knowledge Transfer und Unterstützung bei der Migration – werden im jeweiligen Leistungsblatt festgelegt.</w:t>
      </w:r>
    </w:p>
    <w:p w14:paraId="5DA8F046" w14:textId="77777777" w:rsidR="00622819" w:rsidRDefault="00622819" w:rsidP="00D02866">
      <w:pPr>
        <w:spacing w:before="120" w:after="120" w:line="360" w:lineRule="auto"/>
        <w:jc w:val="both"/>
        <w:rPr>
          <w:rFonts w:ascii="Arial" w:hAnsi="Arial" w:cs="Arial"/>
          <w:color w:val="25282A"/>
        </w:rPr>
      </w:pPr>
    </w:p>
    <w:p w14:paraId="429849BF" w14:textId="77777777" w:rsidR="00622819" w:rsidRPr="00D02866" w:rsidRDefault="00622819" w:rsidP="00622819">
      <w:pPr>
        <w:pStyle w:val="Listenabsatz"/>
        <w:keepNext/>
        <w:numPr>
          <w:ilvl w:val="0"/>
          <w:numId w:val="12"/>
        </w:numPr>
        <w:spacing w:before="120" w:after="120" w:line="360" w:lineRule="auto"/>
        <w:ind w:left="567" w:hanging="567"/>
        <w:contextualSpacing w:val="0"/>
        <w:jc w:val="both"/>
        <w:rPr>
          <w:rFonts w:ascii="Arial" w:hAnsi="Arial" w:cs="Arial"/>
          <w:b/>
          <w:bCs/>
          <w:color w:val="25282A"/>
        </w:rPr>
      </w:pPr>
      <w:r w:rsidRPr="00D02866">
        <w:rPr>
          <w:rFonts w:ascii="Arial" w:hAnsi="Arial" w:cs="Arial"/>
          <w:b/>
          <w:bCs/>
          <w:color w:val="25282A"/>
        </w:rPr>
        <w:t>Dokumentation und Nachweise</w:t>
      </w:r>
    </w:p>
    <w:p w14:paraId="6751FDD9" w14:textId="77777777" w:rsidR="00622819" w:rsidRPr="00D02866" w:rsidRDefault="00622819" w:rsidP="00622819">
      <w:pPr>
        <w:spacing w:before="120" w:after="120" w:line="360" w:lineRule="auto"/>
        <w:jc w:val="both"/>
        <w:rPr>
          <w:rFonts w:ascii="Arial" w:hAnsi="Arial" w:cs="Arial"/>
          <w:color w:val="25282A"/>
        </w:rPr>
      </w:pPr>
      <w:r w:rsidRPr="00B90AA1">
        <w:rPr>
          <w:rFonts w:ascii="Arial" w:hAnsi="Arial" w:cs="Arial"/>
          <w:color w:val="25282A"/>
        </w:rPr>
        <w:t>Mindestens folgende Inhalte sind zu dokumentieren:</w:t>
      </w:r>
    </w:p>
    <w:p w14:paraId="4F846963" w14:textId="77777777" w:rsidR="00622819" w:rsidRPr="00D02866" w:rsidRDefault="00622819" w:rsidP="00622819">
      <w:pPr>
        <w:numPr>
          <w:ilvl w:val="0"/>
          <w:numId w:val="4"/>
        </w:numPr>
        <w:spacing w:before="120" w:after="120" w:line="360" w:lineRule="auto"/>
        <w:ind w:left="567" w:hanging="567"/>
        <w:jc w:val="both"/>
        <w:rPr>
          <w:rFonts w:ascii="Arial" w:hAnsi="Arial" w:cs="Arial"/>
          <w:color w:val="25282A"/>
        </w:rPr>
      </w:pPr>
      <w:r w:rsidRPr="00D02866">
        <w:rPr>
          <w:rFonts w:ascii="Arial" w:hAnsi="Arial" w:cs="Arial"/>
          <w:color w:val="25282A"/>
        </w:rPr>
        <w:t>externe Verbindungen und Abhängigkeiten,</w:t>
      </w:r>
    </w:p>
    <w:p w14:paraId="25CBE8F6" w14:textId="77777777" w:rsidR="00622819" w:rsidRPr="00D02866" w:rsidRDefault="00622819" w:rsidP="00622819">
      <w:pPr>
        <w:numPr>
          <w:ilvl w:val="0"/>
          <w:numId w:val="4"/>
        </w:numPr>
        <w:spacing w:before="120" w:after="120" w:line="360" w:lineRule="auto"/>
        <w:ind w:left="567" w:hanging="567"/>
        <w:jc w:val="both"/>
        <w:rPr>
          <w:rFonts w:ascii="Arial" w:hAnsi="Arial" w:cs="Arial"/>
          <w:color w:val="25282A"/>
        </w:rPr>
      </w:pPr>
      <w:r w:rsidRPr="00D02866">
        <w:rPr>
          <w:rFonts w:ascii="Arial" w:hAnsi="Arial" w:cs="Arial"/>
          <w:color w:val="25282A"/>
        </w:rPr>
        <w:t>Rollen- und Berechtigungskonzept,</w:t>
      </w:r>
    </w:p>
    <w:p w14:paraId="1AB4F1B9" w14:textId="77777777" w:rsidR="00622819" w:rsidRPr="00D02866" w:rsidRDefault="00622819" w:rsidP="00622819">
      <w:pPr>
        <w:numPr>
          <w:ilvl w:val="0"/>
          <w:numId w:val="4"/>
        </w:numPr>
        <w:spacing w:before="120" w:after="120" w:line="360" w:lineRule="auto"/>
        <w:ind w:left="567" w:hanging="567"/>
        <w:jc w:val="both"/>
        <w:rPr>
          <w:rFonts w:ascii="Arial" w:hAnsi="Arial" w:cs="Arial"/>
          <w:color w:val="25282A"/>
        </w:rPr>
      </w:pPr>
      <w:proofErr w:type="spellStart"/>
      <w:r w:rsidRPr="00D02866">
        <w:rPr>
          <w:rFonts w:ascii="Arial" w:hAnsi="Arial" w:cs="Arial"/>
          <w:color w:val="25282A"/>
        </w:rPr>
        <w:t>Healthchecks</w:t>
      </w:r>
      <w:proofErr w:type="spellEnd"/>
      <w:r w:rsidRPr="00D02866">
        <w:rPr>
          <w:rFonts w:ascii="Arial" w:hAnsi="Arial" w:cs="Arial"/>
          <w:color w:val="25282A"/>
        </w:rPr>
        <w:t>,</w:t>
      </w:r>
    </w:p>
    <w:p w14:paraId="2AA9FD35" w14:textId="77777777" w:rsidR="00622819" w:rsidRPr="00D02866" w:rsidRDefault="00622819" w:rsidP="00622819">
      <w:pPr>
        <w:numPr>
          <w:ilvl w:val="0"/>
          <w:numId w:val="4"/>
        </w:numPr>
        <w:spacing w:before="120" w:after="120" w:line="360" w:lineRule="auto"/>
        <w:ind w:left="567" w:hanging="567"/>
        <w:jc w:val="both"/>
        <w:rPr>
          <w:rFonts w:ascii="Arial" w:hAnsi="Arial" w:cs="Arial"/>
          <w:color w:val="25282A"/>
        </w:rPr>
      </w:pPr>
      <w:proofErr w:type="spellStart"/>
      <w:r w:rsidRPr="00D02866">
        <w:rPr>
          <w:rFonts w:ascii="Arial" w:hAnsi="Arial" w:cs="Arial"/>
          <w:color w:val="25282A"/>
        </w:rPr>
        <w:t>Runbooks</w:t>
      </w:r>
      <w:proofErr w:type="spellEnd"/>
      <w:r w:rsidRPr="00D02866">
        <w:rPr>
          <w:rFonts w:ascii="Arial" w:hAnsi="Arial" w:cs="Arial"/>
          <w:color w:val="25282A"/>
        </w:rPr>
        <w:t xml:space="preserve"> für Betrieb und Störungsbehebung,</w:t>
      </w:r>
    </w:p>
    <w:p w14:paraId="56639A2B" w14:textId="77777777" w:rsidR="00622819" w:rsidRPr="00D02866" w:rsidRDefault="00622819" w:rsidP="00622819">
      <w:pPr>
        <w:numPr>
          <w:ilvl w:val="0"/>
          <w:numId w:val="4"/>
        </w:numPr>
        <w:spacing w:before="120" w:after="120" w:line="360" w:lineRule="auto"/>
        <w:ind w:left="567" w:hanging="567"/>
        <w:jc w:val="both"/>
        <w:rPr>
          <w:rFonts w:ascii="Arial" w:hAnsi="Arial" w:cs="Arial"/>
          <w:color w:val="25282A"/>
        </w:rPr>
      </w:pPr>
      <w:r w:rsidRPr="00D02866">
        <w:rPr>
          <w:rFonts w:ascii="Arial" w:hAnsi="Arial" w:cs="Arial"/>
          <w:color w:val="25282A"/>
        </w:rPr>
        <w:t>Migrations</w:t>
      </w:r>
      <w:r>
        <w:rPr>
          <w:rFonts w:ascii="Arial" w:hAnsi="Arial" w:cs="Arial"/>
          <w:color w:val="25282A"/>
        </w:rPr>
        <w:t>- und Exit</w:t>
      </w:r>
      <w:r w:rsidRPr="00D02866">
        <w:rPr>
          <w:rFonts w:ascii="Arial" w:hAnsi="Arial" w:cs="Arial"/>
          <w:color w:val="25282A"/>
        </w:rPr>
        <w:t>mechanismen,</w:t>
      </w:r>
    </w:p>
    <w:p w14:paraId="461E3B23" w14:textId="5B625C13" w:rsidR="00622819" w:rsidRPr="00D02866" w:rsidRDefault="00622819" w:rsidP="00622819">
      <w:pPr>
        <w:numPr>
          <w:ilvl w:val="0"/>
          <w:numId w:val="4"/>
        </w:numPr>
        <w:spacing w:before="120" w:after="120" w:line="360" w:lineRule="auto"/>
        <w:ind w:left="567" w:hanging="567"/>
        <w:jc w:val="both"/>
        <w:rPr>
          <w:rFonts w:ascii="Arial" w:hAnsi="Arial" w:cs="Arial"/>
          <w:color w:val="25282A"/>
        </w:rPr>
      </w:pPr>
      <w:r w:rsidRPr="00D02866">
        <w:rPr>
          <w:rFonts w:ascii="Arial" w:hAnsi="Arial" w:cs="Arial"/>
          <w:color w:val="25282A"/>
        </w:rPr>
        <w:t>Backup- und Restore-</w:t>
      </w:r>
      <w:r>
        <w:rPr>
          <w:rFonts w:ascii="Arial" w:hAnsi="Arial" w:cs="Arial"/>
          <w:color w:val="25282A"/>
        </w:rPr>
        <w:t>Vorgänge</w:t>
      </w:r>
      <w:r w:rsidRPr="00D02866">
        <w:rPr>
          <w:rFonts w:ascii="Arial" w:hAnsi="Arial" w:cs="Arial"/>
          <w:color w:val="25282A"/>
        </w:rPr>
        <w:t>.</w:t>
      </w:r>
    </w:p>
    <w:p w14:paraId="10CF8D8D" w14:textId="77777777" w:rsidR="00622819" w:rsidRPr="00D02866" w:rsidRDefault="00622819" w:rsidP="00622819">
      <w:pPr>
        <w:spacing w:before="120" w:after="120" w:line="360" w:lineRule="auto"/>
        <w:jc w:val="both"/>
        <w:rPr>
          <w:rFonts w:ascii="Arial" w:hAnsi="Arial" w:cs="Arial"/>
          <w:color w:val="25282A"/>
        </w:rPr>
      </w:pPr>
      <w:r w:rsidRPr="00D02866">
        <w:rPr>
          <w:rFonts w:ascii="Arial" w:hAnsi="Arial" w:cs="Arial"/>
          <w:color w:val="25282A"/>
        </w:rPr>
        <w:t>Je Release sind mindestens folgende Unterlagen bereitzustellen:</w:t>
      </w:r>
    </w:p>
    <w:p w14:paraId="057619EA" w14:textId="77777777" w:rsidR="00622819" w:rsidRPr="00D02866" w:rsidRDefault="00622819" w:rsidP="00622819">
      <w:pPr>
        <w:numPr>
          <w:ilvl w:val="0"/>
          <w:numId w:val="4"/>
        </w:numPr>
        <w:spacing w:before="120" w:after="120" w:line="360" w:lineRule="auto"/>
        <w:ind w:left="567" w:hanging="567"/>
        <w:jc w:val="both"/>
        <w:rPr>
          <w:rFonts w:ascii="Arial" w:hAnsi="Arial" w:cs="Arial"/>
          <w:color w:val="25282A"/>
        </w:rPr>
      </w:pPr>
      <w:r w:rsidRPr="00D02866">
        <w:rPr>
          <w:rFonts w:ascii="Arial" w:hAnsi="Arial" w:cs="Arial"/>
          <w:color w:val="25282A"/>
        </w:rPr>
        <w:t>Release Notes,</w:t>
      </w:r>
    </w:p>
    <w:p w14:paraId="1ECCE89F" w14:textId="77777777" w:rsidR="00622819" w:rsidRPr="00D02866" w:rsidRDefault="00622819" w:rsidP="00622819">
      <w:pPr>
        <w:numPr>
          <w:ilvl w:val="0"/>
          <w:numId w:val="4"/>
        </w:numPr>
        <w:spacing w:before="120" w:after="120" w:line="360" w:lineRule="auto"/>
        <w:ind w:left="567" w:hanging="567"/>
        <w:jc w:val="both"/>
        <w:rPr>
          <w:rFonts w:ascii="Arial" w:hAnsi="Arial" w:cs="Arial"/>
          <w:color w:val="25282A"/>
        </w:rPr>
      </w:pPr>
      <w:proofErr w:type="spellStart"/>
      <w:r>
        <w:rPr>
          <w:rFonts w:ascii="Arial" w:hAnsi="Arial" w:cs="Arial"/>
          <w:color w:val="25282A"/>
        </w:rPr>
        <w:t>Vulnerability</w:t>
      </w:r>
      <w:proofErr w:type="spellEnd"/>
      <w:r>
        <w:rPr>
          <w:rFonts w:ascii="Arial" w:hAnsi="Arial" w:cs="Arial"/>
          <w:color w:val="25282A"/>
        </w:rPr>
        <w:t>-Analyse.</w:t>
      </w:r>
    </w:p>
    <w:p w14:paraId="3604E199" w14:textId="77777777" w:rsidR="00622819" w:rsidRPr="00D02866" w:rsidRDefault="00622819" w:rsidP="00622819">
      <w:pPr>
        <w:spacing w:before="120" w:after="120" w:line="360" w:lineRule="auto"/>
        <w:jc w:val="both"/>
        <w:rPr>
          <w:rFonts w:ascii="Arial" w:hAnsi="Arial" w:cs="Arial"/>
          <w:color w:val="25282A"/>
        </w:rPr>
      </w:pPr>
      <w:r w:rsidRPr="00D02866">
        <w:rPr>
          <w:rFonts w:ascii="Arial" w:hAnsi="Arial" w:cs="Arial"/>
          <w:color w:val="25282A"/>
        </w:rPr>
        <w:t>Losspezifische Nachweise sind hiervon zu trennen und gehören in das jeweilige Leistungsblatt.</w:t>
      </w:r>
    </w:p>
    <w:p w14:paraId="460752E0" w14:textId="77777777" w:rsidR="00622819" w:rsidRPr="00D02866" w:rsidRDefault="00622819" w:rsidP="00D02866">
      <w:pPr>
        <w:spacing w:before="120" w:after="120" w:line="360" w:lineRule="auto"/>
        <w:jc w:val="both"/>
        <w:rPr>
          <w:rFonts w:ascii="Arial" w:hAnsi="Arial" w:cs="Arial"/>
          <w:color w:val="25282A"/>
        </w:rPr>
      </w:pPr>
    </w:p>
    <w:sectPr w:rsidR="00622819" w:rsidRPr="00D02866">
      <w:headerReference w:type="default" r:id="rId11"/>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7DDEA" w14:textId="77777777" w:rsidR="00357290" w:rsidRDefault="00357290" w:rsidP="00B90AA1">
      <w:pPr>
        <w:spacing w:after="0" w:line="240" w:lineRule="auto"/>
      </w:pPr>
      <w:r>
        <w:separator/>
      </w:r>
    </w:p>
  </w:endnote>
  <w:endnote w:type="continuationSeparator" w:id="0">
    <w:p w14:paraId="789EA690" w14:textId="77777777" w:rsidR="00357290" w:rsidRDefault="00357290" w:rsidP="00B90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rdia New">
    <w:panose1 w:val="020B0304020202020204"/>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4103523"/>
      <w:docPartObj>
        <w:docPartGallery w:val="Page Numbers (Bottom of Page)"/>
        <w:docPartUnique/>
      </w:docPartObj>
    </w:sdtPr>
    <w:sdtEndPr>
      <w:rPr>
        <w:rFonts w:ascii="Arial" w:hAnsi="Arial" w:cs="Arial"/>
        <w:sz w:val="16"/>
        <w:szCs w:val="16"/>
      </w:rPr>
    </w:sdtEndPr>
    <w:sdtContent>
      <w:p w14:paraId="4338E84F" w14:textId="03714F2A" w:rsidR="00596D1E" w:rsidRPr="00596D1E" w:rsidRDefault="00596D1E" w:rsidP="00596D1E">
        <w:pPr>
          <w:pStyle w:val="Fuzeile"/>
          <w:jc w:val="right"/>
          <w:rPr>
            <w:rFonts w:ascii="Arial" w:hAnsi="Arial" w:cs="Arial"/>
            <w:sz w:val="16"/>
            <w:szCs w:val="16"/>
          </w:rPr>
        </w:pPr>
        <w:r>
          <w:rPr>
            <w:rFonts w:ascii="Arial" w:hAnsi="Arial" w:cs="Arial"/>
            <w:b/>
            <w:bCs/>
            <w:sz w:val="16"/>
            <w:szCs w:val="16"/>
          </w:rPr>
          <w:t>2.</w:t>
        </w:r>
        <w:r w:rsidR="00395D47">
          <w:rPr>
            <w:rFonts w:ascii="Arial" w:hAnsi="Arial" w:cs="Arial"/>
            <w:b/>
            <w:bCs/>
            <w:sz w:val="16"/>
            <w:szCs w:val="16"/>
          </w:rPr>
          <w:t>6</w:t>
        </w:r>
        <w:r w:rsidRPr="00262B42">
          <w:rPr>
            <w:rFonts w:ascii="Arial" w:hAnsi="Arial" w:cs="Arial"/>
            <w:b/>
            <w:bCs/>
            <w:sz w:val="16"/>
            <w:szCs w:val="16"/>
          </w:rPr>
          <w:t xml:space="preserve"> – </w:t>
        </w:r>
        <w:r w:rsidRPr="00596D1E">
          <w:rPr>
            <w:rFonts w:ascii="Arial" w:hAnsi="Arial" w:cs="Arial"/>
            <w:b/>
            <w:sz w:val="16"/>
            <w:szCs w:val="16"/>
          </w:rPr>
          <w:t>Technische Mindestanforderungen und Schnittstellendokumentation</w:t>
        </w:r>
        <w:r>
          <w:tab/>
        </w:r>
        <w:sdt>
          <w:sdtPr>
            <w:rPr>
              <w:rFonts w:ascii="Arial" w:hAnsi="Arial" w:cs="Arial"/>
              <w:sz w:val="16"/>
              <w:szCs w:val="16"/>
            </w:rPr>
            <w:id w:val="-664244591"/>
            <w:docPartObj>
              <w:docPartGallery w:val="Page Numbers (Top of Page)"/>
              <w:docPartUnique/>
            </w:docPartObj>
          </w:sdtPr>
          <w:sdtEndPr/>
          <w:sdtContent>
            <w:r w:rsidRPr="00867C5E">
              <w:rPr>
                <w:rFonts w:ascii="Arial" w:hAnsi="Arial" w:cs="Arial"/>
                <w:sz w:val="16"/>
                <w:szCs w:val="16"/>
              </w:rPr>
              <w:t xml:space="preserve">Seite </w:t>
            </w:r>
            <w:r w:rsidRPr="00867C5E">
              <w:rPr>
                <w:rFonts w:ascii="Arial" w:hAnsi="Arial" w:cs="Arial"/>
                <w:b/>
                <w:bCs/>
                <w:sz w:val="16"/>
                <w:szCs w:val="16"/>
              </w:rPr>
              <w:fldChar w:fldCharType="begin"/>
            </w:r>
            <w:r w:rsidRPr="00867C5E">
              <w:rPr>
                <w:rFonts w:ascii="Arial" w:hAnsi="Arial" w:cs="Arial"/>
                <w:b/>
                <w:bCs/>
                <w:sz w:val="16"/>
                <w:szCs w:val="16"/>
              </w:rPr>
              <w:instrText>PAGE</w:instrText>
            </w:r>
            <w:r w:rsidRPr="00867C5E">
              <w:rPr>
                <w:rFonts w:ascii="Arial" w:hAnsi="Arial" w:cs="Arial"/>
                <w:b/>
                <w:bCs/>
                <w:sz w:val="16"/>
                <w:szCs w:val="16"/>
              </w:rPr>
              <w:fldChar w:fldCharType="separate"/>
            </w:r>
            <w:r>
              <w:rPr>
                <w:rFonts w:ascii="Arial" w:hAnsi="Arial" w:cs="Arial"/>
                <w:b/>
                <w:bCs/>
                <w:sz w:val="16"/>
                <w:szCs w:val="16"/>
              </w:rPr>
              <w:t>1</w:t>
            </w:r>
            <w:r w:rsidRPr="00867C5E">
              <w:rPr>
                <w:rFonts w:ascii="Arial" w:hAnsi="Arial" w:cs="Arial"/>
                <w:b/>
                <w:bCs/>
                <w:sz w:val="16"/>
                <w:szCs w:val="16"/>
              </w:rPr>
              <w:fldChar w:fldCharType="end"/>
            </w:r>
            <w:r w:rsidRPr="00867C5E">
              <w:rPr>
                <w:rFonts w:ascii="Arial" w:hAnsi="Arial" w:cs="Arial"/>
                <w:sz w:val="16"/>
                <w:szCs w:val="16"/>
              </w:rPr>
              <w:t xml:space="preserve"> von </w:t>
            </w:r>
            <w:r w:rsidRPr="00867C5E">
              <w:rPr>
                <w:rFonts w:ascii="Arial" w:hAnsi="Arial" w:cs="Arial"/>
                <w:b/>
                <w:bCs/>
                <w:sz w:val="16"/>
                <w:szCs w:val="16"/>
              </w:rPr>
              <w:fldChar w:fldCharType="begin"/>
            </w:r>
            <w:r w:rsidRPr="00867C5E">
              <w:rPr>
                <w:rFonts w:ascii="Arial" w:hAnsi="Arial" w:cs="Arial"/>
                <w:b/>
                <w:bCs/>
                <w:sz w:val="16"/>
                <w:szCs w:val="16"/>
              </w:rPr>
              <w:instrText>NUMPAGES</w:instrText>
            </w:r>
            <w:r w:rsidRPr="00867C5E">
              <w:rPr>
                <w:rFonts w:ascii="Arial" w:hAnsi="Arial" w:cs="Arial"/>
                <w:b/>
                <w:bCs/>
                <w:sz w:val="16"/>
                <w:szCs w:val="16"/>
              </w:rPr>
              <w:fldChar w:fldCharType="separate"/>
            </w:r>
            <w:r>
              <w:rPr>
                <w:rFonts w:ascii="Arial" w:hAnsi="Arial" w:cs="Arial"/>
                <w:b/>
                <w:bCs/>
                <w:sz w:val="16"/>
                <w:szCs w:val="16"/>
              </w:rPr>
              <w:t>3</w:t>
            </w:r>
            <w:r w:rsidRPr="00867C5E">
              <w:rPr>
                <w:rFonts w:ascii="Arial" w:hAnsi="Arial" w:cs="Arial"/>
                <w:b/>
                <w:bCs/>
                <w:sz w:val="16"/>
                <w:szCs w:val="16"/>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06DE1" w14:textId="77777777" w:rsidR="00357290" w:rsidRDefault="00357290" w:rsidP="00B90AA1">
      <w:pPr>
        <w:spacing w:after="0" w:line="240" w:lineRule="auto"/>
      </w:pPr>
      <w:r>
        <w:separator/>
      </w:r>
    </w:p>
  </w:footnote>
  <w:footnote w:type="continuationSeparator" w:id="0">
    <w:p w14:paraId="5A762478" w14:textId="77777777" w:rsidR="00357290" w:rsidRDefault="00357290" w:rsidP="00B90A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9"/>
      <w:gridCol w:w="5953"/>
      <w:gridCol w:w="1337"/>
    </w:tblGrid>
    <w:tr w:rsidR="00B90AA1" w:rsidRPr="0004139D" w14:paraId="65BC782B" w14:textId="77777777">
      <w:tc>
        <w:tcPr>
          <w:tcW w:w="2269" w:type="dxa"/>
        </w:tcPr>
        <w:p w14:paraId="7A812DA6" w14:textId="77777777" w:rsidR="00B90AA1" w:rsidRPr="0004139D" w:rsidRDefault="00B90AA1" w:rsidP="00B90AA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sz w:val="16"/>
              <w:szCs w:val="16"/>
            </w:rPr>
          </w:pPr>
          <w:r w:rsidRPr="0004139D">
            <w:rPr>
              <w:rFonts w:ascii="Arial" w:eastAsia="Calibri" w:hAnsi="Arial" w:cs="Arial"/>
              <w:b/>
              <w:bCs/>
              <w:sz w:val="16"/>
              <w:szCs w:val="16"/>
            </w:rPr>
            <w:t>Auftraggeber:</w:t>
          </w:r>
        </w:p>
      </w:tc>
      <w:tc>
        <w:tcPr>
          <w:tcW w:w="5953" w:type="dxa"/>
        </w:tcPr>
        <w:p w14:paraId="48C1366F" w14:textId="77777777" w:rsidR="00B90AA1" w:rsidRPr="0004139D" w:rsidRDefault="00B90AA1" w:rsidP="00B90AA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r w:rsidRPr="001B376F">
            <w:rPr>
              <w:rFonts w:ascii="Arial" w:hAnsi="Arial" w:cs="Arial"/>
              <w:noProof/>
              <w:sz w:val="16"/>
              <w:szCs w:val="16"/>
            </w:rPr>
            <w:t>GovTech Platforms GmbH</w:t>
          </w:r>
        </w:p>
      </w:tc>
      <w:tc>
        <w:tcPr>
          <w:tcW w:w="1337" w:type="dxa"/>
          <w:vMerge w:val="restart"/>
        </w:tcPr>
        <w:p w14:paraId="3752275A" w14:textId="77777777" w:rsidR="00B90AA1" w:rsidRPr="0004139D" w:rsidRDefault="00B90AA1" w:rsidP="00B90AA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sz w:val="16"/>
              <w:szCs w:val="16"/>
            </w:rPr>
          </w:pPr>
        </w:p>
      </w:tc>
    </w:tr>
    <w:tr w:rsidR="00B90AA1" w:rsidRPr="0004139D" w14:paraId="186F056C" w14:textId="77777777">
      <w:tc>
        <w:tcPr>
          <w:tcW w:w="2269" w:type="dxa"/>
        </w:tcPr>
        <w:p w14:paraId="0A5AE69C" w14:textId="77777777" w:rsidR="00B90AA1" w:rsidRPr="0004139D" w:rsidRDefault="00B90AA1" w:rsidP="00B90AA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sz w:val="16"/>
              <w:szCs w:val="16"/>
            </w:rPr>
          </w:pPr>
          <w:r w:rsidRPr="0004139D">
            <w:rPr>
              <w:rFonts w:ascii="Arial" w:eastAsia="Calibri" w:hAnsi="Arial" w:cs="Arial"/>
              <w:b/>
              <w:bCs/>
              <w:sz w:val="16"/>
              <w:szCs w:val="16"/>
            </w:rPr>
            <w:t>Vorhaben:</w:t>
          </w:r>
        </w:p>
      </w:tc>
      <w:tc>
        <w:tcPr>
          <w:tcW w:w="5953" w:type="dxa"/>
        </w:tcPr>
        <w:p w14:paraId="5C4DB21B" w14:textId="77777777" w:rsidR="00B90AA1" w:rsidRPr="0004139D" w:rsidRDefault="00B90AA1" w:rsidP="00B90AA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r>
            <w:rPr>
              <w:rFonts w:ascii="Arial" w:eastAsia="Calibri" w:hAnsi="Arial" w:cs="Arial"/>
              <w:sz w:val="16"/>
              <w:szCs w:val="16"/>
            </w:rPr>
            <w:t>Einkauf von Fachanwendungen</w:t>
          </w:r>
        </w:p>
      </w:tc>
      <w:tc>
        <w:tcPr>
          <w:tcW w:w="1337" w:type="dxa"/>
          <w:vMerge/>
          <w:vAlign w:val="center"/>
        </w:tcPr>
        <w:p w14:paraId="2BB6A1EF" w14:textId="77777777" w:rsidR="00B90AA1" w:rsidRPr="0004139D" w:rsidRDefault="00B90AA1" w:rsidP="00B90AA1">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r w:rsidR="00B90AA1" w:rsidRPr="0004139D" w14:paraId="31289EDB" w14:textId="77777777">
      <w:tc>
        <w:tcPr>
          <w:tcW w:w="2269" w:type="dxa"/>
        </w:tcPr>
        <w:p w14:paraId="762FD187" w14:textId="77777777" w:rsidR="00B90AA1" w:rsidRPr="0004139D" w:rsidRDefault="00B90AA1" w:rsidP="00B90AA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sz w:val="16"/>
              <w:szCs w:val="16"/>
            </w:rPr>
          </w:pPr>
          <w:r>
            <w:rPr>
              <w:rFonts w:ascii="Arial" w:eastAsia="Calibri" w:hAnsi="Arial" w:cs="Arial"/>
              <w:b/>
              <w:bCs/>
              <w:sz w:val="16"/>
              <w:szCs w:val="16"/>
            </w:rPr>
            <w:t>Fachanwendungsbereich</w:t>
          </w:r>
          <w:r w:rsidRPr="0004139D">
            <w:rPr>
              <w:rFonts w:ascii="Arial" w:eastAsia="Calibri" w:hAnsi="Arial" w:cs="Arial"/>
              <w:b/>
              <w:bCs/>
              <w:sz w:val="16"/>
              <w:szCs w:val="16"/>
            </w:rPr>
            <w:t>:</w:t>
          </w:r>
        </w:p>
      </w:tc>
      <w:tc>
        <w:tcPr>
          <w:tcW w:w="5953" w:type="dxa"/>
        </w:tcPr>
        <w:p w14:paraId="23862B52" w14:textId="77777777" w:rsidR="00B90AA1" w:rsidRPr="0004139D" w:rsidRDefault="00B90AA1" w:rsidP="00B90AA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p>
      </w:tc>
      <w:tc>
        <w:tcPr>
          <w:tcW w:w="1337" w:type="dxa"/>
          <w:vMerge/>
          <w:vAlign w:val="center"/>
        </w:tcPr>
        <w:p w14:paraId="6D38A541" w14:textId="77777777" w:rsidR="00B90AA1" w:rsidRPr="0004139D" w:rsidRDefault="00B90AA1" w:rsidP="00B90AA1">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r w:rsidR="00B90AA1" w14:paraId="7E4C4CE0" w14:textId="77777777">
      <w:tc>
        <w:tcPr>
          <w:tcW w:w="2269" w:type="dxa"/>
        </w:tcPr>
        <w:p w14:paraId="7E63154A" w14:textId="77777777" w:rsidR="00B90AA1" w:rsidRPr="0004139D" w:rsidRDefault="00B90AA1" w:rsidP="00B90AA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r w:rsidRPr="0004139D">
            <w:rPr>
              <w:rFonts w:ascii="Arial" w:eastAsia="Calibri" w:hAnsi="Arial" w:cs="Arial"/>
              <w:b/>
              <w:bCs/>
              <w:sz w:val="16"/>
              <w:szCs w:val="16"/>
            </w:rPr>
            <w:t>Verfahrensart</w:t>
          </w:r>
        </w:p>
      </w:tc>
      <w:tc>
        <w:tcPr>
          <w:tcW w:w="5953" w:type="dxa"/>
        </w:tcPr>
        <w:p w14:paraId="3A34C101" w14:textId="77777777" w:rsidR="00B90AA1" w:rsidRDefault="00B90AA1" w:rsidP="00B90AA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proofErr w:type="spellStart"/>
          <w:r>
            <w:rPr>
              <w:rFonts w:ascii="Arial" w:eastAsia="Calibri" w:hAnsi="Arial" w:cs="Arial"/>
              <w:sz w:val="16"/>
              <w:szCs w:val="16"/>
            </w:rPr>
            <w:t>GovTech</w:t>
          </w:r>
          <w:proofErr w:type="spellEnd"/>
          <w:r>
            <w:rPr>
              <w:rFonts w:ascii="Arial" w:eastAsia="Calibri" w:hAnsi="Arial" w:cs="Arial"/>
              <w:sz w:val="16"/>
              <w:szCs w:val="16"/>
            </w:rPr>
            <w:t>-Zulassungsverfahren</w:t>
          </w:r>
        </w:p>
      </w:tc>
      <w:tc>
        <w:tcPr>
          <w:tcW w:w="1337" w:type="dxa"/>
          <w:vMerge/>
          <w:vAlign w:val="center"/>
        </w:tcPr>
        <w:p w14:paraId="14DD066D" w14:textId="77777777" w:rsidR="00B90AA1" w:rsidRDefault="00B90AA1" w:rsidP="00B90AA1">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bl>
  <w:p w14:paraId="502E1FF1" w14:textId="77777777" w:rsidR="00B90AA1" w:rsidRDefault="00B90AA1" w:rsidP="00B90AA1">
    <w:pPr>
      <w:pStyle w:val="Kopfzeile"/>
    </w:pPr>
    <w:r>
      <w:rPr>
        <w:noProof/>
      </w:rPr>
      <w:drawing>
        <wp:anchor distT="0" distB="0" distL="114300" distR="114300" simplePos="0" relativeHeight="251658240" behindDoc="0" locked="0" layoutInCell="1" allowOverlap="1" wp14:anchorId="148C300D" wp14:editId="611C31D8">
          <wp:simplePos x="0" y="0"/>
          <wp:positionH relativeFrom="margin">
            <wp:posOffset>4368165</wp:posOffset>
          </wp:positionH>
          <wp:positionV relativeFrom="paragraph">
            <wp:posOffset>-746125</wp:posOffset>
          </wp:positionV>
          <wp:extent cx="1604010" cy="748665"/>
          <wp:effectExtent l="0" t="0" r="0" b="0"/>
          <wp:wrapNone/>
          <wp:docPr id="2045402123" name="Grafik 1" descr="GovTech Deutschland | Linked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vTech Deutschland | LinkedIn"/>
                  <pic:cNvPicPr>
                    <a:picLocks noChangeAspect="1" noChangeArrowheads="1"/>
                  </pic:cNvPicPr>
                </pic:nvPicPr>
                <pic:blipFill rotWithShape="1">
                  <a:blip r:embed="rId1">
                    <a:extLst>
                      <a:ext uri="{28A0092B-C50C-407E-A947-70E740481C1C}">
                        <a14:useLocalDpi xmlns:a14="http://schemas.microsoft.com/office/drawing/2010/main" val="0"/>
                      </a:ext>
                    </a:extLst>
                  </a:blip>
                  <a:srcRect l="7694" t="29898" r="8094" b="30763"/>
                  <a:stretch>
                    <a:fillRect/>
                  </a:stretch>
                </pic:blipFill>
                <pic:spPr bwMode="auto">
                  <a:xfrm>
                    <a:off x="0" y="0"/>
                    <a:ext cx="1604010" cy="7486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AEAFFF9" w14:textId="0F5BAF57" w:rsidR="00B90AA1" w:rsidRDefault="00B90AA1" w:rsidP="00B90AA1">
    <w:pPr>
      <w:pStyle w:val="Kopfzeile"/>
      <w:jc w:val="right"/>
      <w:rPr>
        <w:rFonts w:ascii="Arial" w:hAnsi="Arial" w:cs="Arial"/>
        <w:b/>
        <w:bCs/>
        <w:color w:val="25282A"/>
      </w:rPr>
    </w:pPr>
    <w:r w:rsidRPr="00B90AA1">
      <w:rPr>
        <w:rFonts w:ascii="Arial" w:hAnsi="Arial" w:cs="Arial"/>
        <w:b/>
      </w:rPr>
      <w:t xml:space="preserve">2.6 - </w:t>
    </w:r>
    <w:r w:rsidRPr="00B90AA1">
      <w:rPr>
        <w:rFonts w:ascii="Arial" w:hAnsi="Arial" w:cs="Arial"/>
        <w:b/>
        <w:bCs/>
        <w:color w:val="25282A"/>
      </w:rPr>
      <w:t xml:space="preserve">Technische Mindestanforderungen </w:t>
    </w:r>
  </w:p>
  <w:p w14:paraId="4982F1A5" w14:textId="77777777" w:rsidR="00B90AA1" w:rsidRPr="00B90AA1" w:rsidRDefault="00B90AA1" w:rsidP="00B90AA1">
    <w:pPr>
      <w:pStyle w:val="Kopfzeile"/>
      <w:jc w:val="right"/>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61776"/>
    <w:multiLevelType w:val="multilevel"/>
    <w:tmpl w:val="68225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04424E"/>
    <w:multiLevelType w:val="multilevel"/>
    <w:tmpl w:val="C1F8D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7672E1"/>
    <w:multiLevelType w:val="hybridMultilevel"/>
    <w:tmpl w:val="CF64B7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63752A"/>
    <w:multiLevelType w:val="multilevel"/>
    <w:tmpl w:val="43B83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191CDF"/>
    <w:multiLevelType w:val="multilevel"/>
    <w:tmpl w:val="96024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4B1814"/>
    <w:multiLevelType w:val="multilevel"/>
    <w:tmpl w:val="EA320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282C69"/>
    <w:multiLevelType w:val="multilevel"/>
    <w:tmpl w:val="CDE44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AA72FB"/>
    <w:multiLevelType w:val="multilevel"/>
    <w:tmpl w:val="129A0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DC34AF6"/>
    <w:multiLevelType w:val="multilevel"/>
    <w:tmpl w:val="EE469B5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15:restartNumberingAfterBreak="0">
    <w:nsid w:val="3C787C35"/>
    <w:multiLevelType w:val="multilevel"/>
    <w:tmpl w:val="AD703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C63A7A"/>
    <w:multiLevelType w:val="multilevel"/>
    <w:tmpl w:val="2D84795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50632FD6"/>
    <w:multiLevelType w:val="multilevel"/>
    <w:tmpl w:val="B3E03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863561"/>
    <w:multiLevelType w:val="multilevel"/>
    <w:tmpl w:val="1A741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02775872">
    <w:abstractNumId w:val="8"/>
  </w:num>
  <w:num w:numId="2" w16cid:durableId="1896164665">
    <w:abstractNumId w:val="10"/>
  </w:num>
  <w:num w:numId="3" w16cid:durableId="991643158">
    <w:abstractNumId w:val="4"/>
  </w:num>
  <w:num w:numId="4" w16cid:durableId="278338936">
    <w:abstractNumId w:val="0"/>
  </w:num>
  <w:num w:numId="5" w16cid:durableId="437257582">
    <w:abstractNumId w:val="1"/>
  </w:num>
  <w:num w:numId="6" w16cid:durableId="878785366">
    <w:abstractNumId w:val="11"/>
  </w:num>
  <w:num w:numId="7" w16cid:durableId="1499662007">
    <w:abstractNumId w:val="6"/>
  </w:num>
  <w:num w:numId="8" w16cid:durableId="1745254007">
    <w:abstractNumId w:val="9"/>
  </w:num>
  <w:num w:numId="9" w16cid:durableId="554855928">
    <w:abstractNumId w:val="12"/>
  </w:num>
  <w:num w:numId="10" w16cid:durableId="171184192">
    <w:abstractNumId w:val="3"/>
  </w:num>
  <w:num w:numId="11" w16cid:durableId="1864593183">
    <w:abstractNumId w:val="5"/>
  </w:num>
  <w:num w:numId="12" w16cid:durableId="1726445702">
    <w:abstractNumId w:val="7"/>
  </w:num>
  <w:num w:numId="13" w16cid:durableId="19853089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trackRevisions/>
  <w:defaultTabStop w:val="708"/>
  <w:autoHyphenation/>
  <w:hyphenationZone w:val="425"/>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866"/>
    <w:rsid w:val="0001784D"/>
    <w:rsid w:val="00021910"/>
    <w:rsid w:val="000512CC"/>
    <w:rsid w:val="00051EC3"/>
    <w:rsid w:val="000669F1"/>
    <w:rsid w:val="00075073"/>
    <w:rsid w:val="000810E2"/>
    <w:rsid w:val="000941A9"/>
    <w:rsid w:val="000A1BF5"/>
    <w:rsid w:val="000B6FA2"/>
    <w:rsid w:val="000C0D89"/>
    <w:rsid w:val="000C4B84"/>
    <w:rsid w:val="000C590C"/>
    <w:rsid w:val="000C5C09"/>
    <w:rsid w:val="000E70DC"/>
    <w:rsid w:val="00103826"/>
    <w:rsid w:val="00111A04"/>
    <w:rsid w:val="00131AD0"/>
    <w:rsid w:val="00142BED"/>
    <w:rsid w:val="001476A5"/>
    <w:rsid w:val="0016135A"/>
    <w:rsid w:val="00167F46"/>
    <w:rsid w:val="00175376"/>
    <w:rsid w:val="001A3E60"/>
    <w:rsid w:val="001A5FDB"/>
    <w:rsid w:val="001A67F6"/>
    <w:rsid w:val="001B33FA"/>
    <w:rsid w:val="001D7EAE"/>
    <w:rsid w:val="0023657E"/>
    <w:rsid w:val="00241307"/>
    <w:rsid w:val="002452F2"/>
    <w:rsid w:val="0028077C"/>
    <w:rsid w:val="0028373C"/>
    <w:rsid w:val="00283C62"/>
    <w:rsid w:val="00295B9E"/>
    <w:rsid w:val="00297CA1"/>
    <w:rsid w:val="002B69DF"/>
    <w:rsid w:val="002D255E"/>
    <w:rsid w:val="002E0ADC"/>
    <w:rsid w:val="002F1716"/>
    <w:rsid w:val="003138E7"/>
    <w:rsid w:val="00342C9F"/>
    <w:rsid w:val="0035527B"/>
    <w:rsid w:val="00357290"/>
    <w:rsid w:val="0036029B"/>
    <w:rsid w:val="0036319B"/>
    <w:rsid w:val="00367A89"/>
    <w:rsid w:val="00371ED4"/>
    <w:rsid w:val="0038117B"/>
    <w:rsid w:val="00384D6D"/>
    <w:rsid w:val="00390D92"/>
    <w:rsid w:val="00395D47"/>
    <w:rsid w:val="003C06D7"/>
    <w:rsid w:val="003C1F9B"/>
    <w:rsid w:val="003C5645"/>
    <w:rsid w:val="003D04D1"/>
    <w:rsid w:val="003D1B33"/>
    <w:rsid w:val="003D447B"/>
    <w:rsid w:val="003F10DA"/>
    <w:rsid w:val="003F28A5"/>
    <w:rsid w:val="003F621A"/>
    <w:rsid w:val="004003F1"/>
    <w:rsid w:val="004029D5"/>
    <w:rsid w:val="004105C1"/>
    <w:rsid w:val="00433B3B"/>
    <w:rsid w:val="004429C7"/>
    <w:rsid w:val="004579B9"/>
    <w:rsid w:val="0046389F"/>
    <w:rsid w:val="0046592A"/>
    <w:rsid w:val="00490056"/>
    <w:rsid w:val="00490E42"/>
    <w:rsid w:val="004C29D6"/>
    <w:rsid w:val="004E1589"/>
    <w:rsid w:val="004F2E30"/>
    <w:rsid w:val="004F3661"/>
    <w:rsid w:val="00501E69"/>
    <w:rsid w:val="005308E2"/>
    <w:rsid w:val="00542CDE"/>
    <w:rsid w:val="005539F5"/>
    <w:rsid w:val="00555EAB"/>
    <w:rsid w:val="00592094"/>
    <w:rsid w:val="00596D1E"/>
    <w:rsid w:val="005A4671"/>
    <w:rsid w:val="005B5BA3"/>
    <w:rsid w:val="005C317A"/>
    <w:rsid w:val="005E0050"/>
    <w:rsid w:val="005E4DBD"/>
    <w:rsid w:val="005E7533"/>
    <w:rsid w:val="005E7E7C"/>
    <w:rsid w:val="00622819"/>
    <w:rsid w:val="00626FD3"/>
    <w:rsid w:val="00636A32"/>
    <w:rsid w:val="00652BFF"/>
    <w:rsid w:val="00653156"/>
    <w:rsid w:val="006709A5"/>
    <w:rsid w:val="00673E33"/>
    <w:rsid w:val="006827CB"/>
    <w:rsid w:val="006B5A72"/>
    <w:rsid w:val="006C65E1"/>
    <w:rsid w:val="006C792A"/>
    <w:rsid w:val="006D3051"/>
    <w:rsid w:val="006E7921"/>
    <w:rsid w:val="006F6D89"/>
    <w:rsid w:val="00706C34"/>
    <w:rsid w:val="00750291"/>
    <w:rsid w:val="0077380C"/>
    <w:rsid w:val="0078133B"/>
    <w:rsid w:val="007A41A4"/>
    <w:rsid w:val="007B0729"/>
    <w:rsid w:val="007C6899"/>
    <w:rsid w:val="007D50FE"/>
    <w:rsid w:val="007E0C01"/>
    <w:rsid w:val="007E0DB7"/>
    <w:rsid w:val="007E4FA1"/>
    <w:rsid w:val="007E541E"/>
    <w:rsid w:val="007E6439"/>
    <w:rsid w:val="007F4105"/>
    <w:rsid w:val="007F6E35"/>
    <w:rsid w:val="008003DC"/>
    <w:rsid w:val="00825C53"/>
    <w:rsid w:val="00840D04"/>
    <w:rsid w:val="008653B4"/>
    <w:rsid w:val="00874485"/>
    <w:rsid w:val="0087548E"/>
    <w:rsid w:val="00883CAE"/>
    <w:rsid w:val="00885124"/>
    <w:rsid w:val="008918F7"/>
    <w:rsid w:val="008B4295"/>
    <w:rsid w:val="008B6053"/>
    <w:rsid w:val="008C46E3"/>
    <w:rsid w:val="008C7B87"/>
    <w:rsid w:val="008D77F9"/>
    <w:rsid w:val="008E06E1"/>
    <w:rsid w:val="008F04DE"/>
    <w:rsid w:val="008F07A8"/>
    <w:rsid w:val="00901338"/>
    <w:rsid w:val="00905C9F"/>
    <w:rsid w:val="00906C81"/>
    <w:rsid w:val="009132F3"/>
    <w:rsid w:val="009350C3"/>
    <w:rsid w:val="009462B5"/>
    <w:rsid w:val="009553E3"/>
    <w:rsid w:val="00961820"/>
    <w:rsid w:val="009652D2"/>
    <w:rsid w:val="00971C07"/>
    <w:rsid w:val="00974F0A"/>
    <w:rsid w:val="009777A3"/>
    <w:rsid w:val="00983D38"/>
    <w:rsid w:val="009873A9"/>
    <w:rsid w:val="00991CAF"/>
    <w:rsid w:val="00991CF0"/>
    <w:rsid w:val="00992648"/>
    <w:rsid w:val="00994B50"/>
    <w:rsid w:val="00996040"/>
    <w:rsid w:val="009B1FD6"/>
    <w:rsid w:val="009B49BE"/>
    <w:rsid w:val="009B718E"/>
    <w:rsid w:val="009C4ACC"/>
    <w:rsid w:val="009D04EE"/>
    <w:rsid w:val="009D183F"/>
    <w:rsid w:val="009D483B"/>
    <w:rsid w:val="009D7BDE"/>
    <w:rsid w:val="009E649A"/>
    <w:rsid w:val="009E6BC9"/>
    <w:rsid w:val="009F0A62"/>
    <w:rsid w:val="009F5DEA"/>
    <w:rsid w:val="00A0334C"/>
    <w:rsid w:val="00A04869"/>
    <w:rsid w:val="00A1302F"/>
    <w:rsid w:val="00A175FF"/>
    <w:rsid w:val="00A21E42"/>
    <w:rsid w:val="00A40F0C"/>
    <w:rsid w:val="00A54659"/>
    <w:rsid w:val="00A65109"/>
    <w:rsid w:val="00AA1B78"/>
    <w:rsid w:val="00AA21FC"/>
    <w:rsid w:val="00AB3C63"/>
    <w:rsid w:val="00AD409E"/>
    <w:rsid w:val="00AE167E"/>
    <w:rsid w:val="00AE2BAF"/>
    <w:rsid w:val="00AF4CAE"/>
    <w:rsid w:val="00AF7FC6"/>
    <w:rsid w:val="00B23EA5"/>
    <w:rsid w:val="00B23F0A"/>
    <w:rsid w:val="00B24576"/>
    <w:rsid w:val="00B27CEA"/>
    <w:rsid w:val="00B4074D"/>
    <w:rsid w:val="00B4271B"/>
    <w:rsid w:val="00B4345B"/>
    <w:rsid w:val="00B43E2A"/>
    <w:rsid w:val="00B550A0"/>
    <w:rsid w:val="00B57307"/>
    <w:rsid w:val="00B72744"/>
    <w:rsid w:val="00B72754"/>
    <w:rsid w:val="00B90AA1"/>
    <w:rsid w:val="00BA71CA"/>
    <w:rsid w:val="00BB381D"/>
    <w:rsid w:val="00BD26BF"/>
    <w:rsid w:val="00BF048C"/>
    <w:rsid w:val="00BF3037"/>
    <w:rsid w:val="00C21E49"/>
    <w:rsid w:val="00C2584D"/>
    <w:rsid w:val="00C5576C"/>
    <w:rsid w:val="00C760B2"/>
    <w:rsid w:val="00C864A2"/>
    <w:rsid w:val="00C86FC9"/>
    <w:rsid w:val="00CB53F8"/>
    <w:rsid w:val="00CD132B"/>
    <w:rsid w:val="00CD6F68"/>
    <w:rsid w:val="00CE3B53"/>
    <w:rsid w:val="00CE78FD"/>
    <w:rsid w:val="00CE7ABB"/>
    <w:rsid w:val="00CF1CC4"/>
    <w:rsid w:val="00D024E6"/>
    <w:rsid w:val="00D025FF"/>
    <w:rsid w:val="00D02866"/>
    <w:rsid w:val="00D10B05"/>
    <w:rsid w:val="00D11C74"/>
    <w:rsid w:val="00D16C56"/>
    <w:rsid w:val="00D24DC7"/>
    <w:rsid w:val="00D30E6B"/>
    <w:rsid w:val="00D35B19"/>
    <w:rsid w:val="00D44756"/>
    <w:rsid w:val="00D51CD8"/>
    <w:rsid w:val="00D532C5"/>
    <w:rsid w:val="00D65498"/>
    <w:rsid w:val="00D84B22"/>
    <w:rsid w:val="00D84ECF"/>
    <w:rsid w:val="00D85C57"/>
    <w:rsid w:val="00D91B0C"/>
    <w:rsid w:val="00DA080B"/>
    <w:rsid w:val="00DA12AE"/>
    <w:rsid w:val="00DA169B"/>
    <w:rsid w:val="00DA38A9"/>
    <w:rsid w:val="00DA5029"/>
    <w:rsid w:val="00DA7EF5"/>
    <w:rsid w:val="00DC17AE"/>
    <w:rsid w:val="00DD456F"/>
    <w:rsid w:val="00DD6A07"/>
    <w:rsid w:val="00DF3470"/>
    <w:rsid w:val="00E0076D"/>
    <w:rsid w:val="00E0157E"/>
    <w:rsid w:val="00E020DB"/>
    <w:rsid w:val="00E032A1"/>
    <w:rsid w:val="00E04791"/>
    <w:rsid w:val="00E04B63"/>
    <w:rsid w:val="00E10364"/>
    <w:rsid w:val="00E11569"/>
    <w:rsid w:val="00E119BC"/>
    <w:rsid w:val="00E14ED3"/>
    <w:rsid w:val="00E3471A"/>
    <w:rsid w:val="00E35E11"/>
    <w:rsid w:val="00E50DF9"/>
    <w:rsid w:val="00E50F04"/>
    <w:rsid w:val="00E6340E"/>
    <w:rsid w:val="00E76DFF"/>
    <w:rsid w:val="00E83F41"/>
    <w:rsid w:val="00EA3ADF"/>
    <w:rsid w:val="00ED06E4"/>
    <w:rsid w:val="00EF5F3E"/>
    <w:rsid w:val="00EF7AE3"/>
    <w:rsid w:val="00F02DDD"/>
    <w:rsid w:val="00F0667A"/>
    <w:rsid w:val="00F17E4A"/>
    <w:rsid w:val="00F43EB1"/>
    <w:rsid w:val="00F47ABF"/>
    <w:rsid w:val="00F55F08"/>
    <w:rsid w:val="00F63BC6"/>
    <w:rsid w:val="00F65C9E"/>
    <w:rsid w:val="00F86B1F"/>
    <w:rsid w:val="00F9131B"/>
    <w:rsid w:val="00F92640"/>
    <w:rsid w:val="00F9264D"/>
    <w:rsid w:val="00F940AA"/>
    <w:rsid w:val="00FA1F25"/>
    <w:rsid w:val="00FD0688"/>
    <w:rsid w:val="00FD0C59"/>
    <w:rsid w:val="00FE13A4"/>
  </w:rsids>
  <m:mathPr>
    <m:mathFont m:val="Cambria Math"/>
    <m:brkBin m:val="before"/>
    <m:brkBinSub m:val="--"/>
    <m:smallFrac m:val="0"/>
    <m:dispDef/>
    <m:lMargin m:val="0"/>
    <m:rMargin m:val="0"/>
    <m:defJc m:val="centerGroup"/>
    <m:wrapIndent m:val="1440"/>
    <m:intLim m:val="subSup"/>
    <m:naryLim m:val="undOvr"/>
  </m:mathPr>
  <w:themeFontLang w:val="de-DE"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A1745"/>
  <w15:chartTrackingRefBased/>
  <w15:docId w15:val="{BD5CB042-3DDF-414F-B41E-C34794AE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54659"/>
    <w:pPr>
      <w:keepNext/>
      <w:keepLines/>
      <w:spacing w:before="360" w:after="80"/>
      <w:outlineLvl w:val="0"/>
    </w:pPr>
    <w:rPr>
      <w:rFonts w:asciiTheme="majorHAnsi" w:eastAsiaTheme="majorEastAsia" w:hAnsiTheme="majorHAnsi" w:cstheme="majorBidi"/>
      <w:color w:val="00559A" w:themeColor="accent1" w:themeShade="BF"/>
      <w:sz w:val="40"/>
      <w:szCs w:val="40"/>
    </w:rPr>
  </w:style>
  <w:style w:type="paragraph" w:styleId="berschrift2">
    <w:name w:val="heading 2"/>
    <w:basedOn w:val="Standard"/>
    <w:next w:val="Standard"/>
    <w:link w:val="berschrift2Zchn"/>
    <w:uiPriority w:val="9"/>
    <w:semiHidden/>
    <w:unhideWhenUsed/>
    <w:qFormat/>
    <w:rsid w:val="00A54659"/>
    <w:pPr>
      <w:keepNext/>
      <w:keepLines/>
      <w:spacing w:before="160" w:after="80"/>
      <w:outlineLvl w:val="1"/>
    </w:pPr>
    <w:rPr>
      <w:rFonts w:asciiTheme="majorHAnsi" w:eastAsiaTheme="majorEastAsia" w:hAnsiTheme="majorHAnsi" w:cstheme="majorBidi"/>
      <w:color w:val="00559A" w:themeColor="accent1" w:themeShade="BF"/>
      <w:sz w:val="32"/>
      <w:szCs w:val="32"/>
    </w:rPr>
  </w:style>
  <w:style w:type="paragraph" w:styleId="berschrift3">
    <w:name w:val="heading 3"/>
    <w:basedOn w:val="Standard"/>
    <w:next w:val="Standard"/>
    <w:link w:val="berschrift3Zchn"/>
    <w:uiPriority w:val="9"/>
    <w:semiHidden/>
    <w:unhideWhenUsed/>
    <w:qFormat/>
    <w:rsid w:val="00A54659"/>
    <w:pPr>
      <w:keepNext/>
      <w:keepLines/>
      <w:spacing w:before="160" w:after="80"/>
      <w:outlineLvl w:val="2"/>
    </w:pPr>
    <w:rPr>
      <w:rFonts w:eastAsiaTheme="majorEastAsia" w:cstheme="majorBidi"/>
      <w:color w:val="00559A" w:themeColor="accent1" w:themeShade="BF"/>
      <w:sz w:val="28"/>
      <w:szCs w:val="28"/>
    </w:rPr>
  </w:style>
  <w:style w:type="paragraph" w:styleId="berschrift4">
    <w:name w:val="heading 4"/>
    <w:basedOn w:val="Standard"/>
    <w:next w:val="Standard"/>
    <w:link w:val="berschrift4Zchn"/>
    <w:uiPriority w:val="9"/>
    <w:semiHidden/>
    <w:unhideWhenUsed/>
    <w:qFormat/>
    <w:rsid w:val="00A54659"/>
    <w:pPr>
      <w:keepNext/>
      <w:keepLines/>
      <w:spacing w:before="80" w:after="40"/>
      <w:outlineLvl w:val="3"/>
    </w:pPr>
    <w:rPr>
      <w:rFonts w:eastAsiaTheme="majorEastAsia" w:cstheme="majorBidi"/>
      <w:i/>
      <w:iCs/>
      <w:color w:val="00559A" w:themeColor="accent1" w:themeShade="BF"/>
    </w:rPr>
  </w:style>
  <w:style w:type="paragraph" w:styleId="berschrift5">
    <w:name w:val="heading 5"/>
    <w:basedOn w:val="Standard"/>
    <w:next w:val="Standard"/>
    <w:link w:val="berschrift5Zchn"/>
    <w:uiPriority w:val="9"/>
    <w:semiHidden/>
    <w:unhideWhenUsed/>
    <w:qFormat/>
    <w:rsid w:val="00A54659"/>
    <w:pPr>
      <w:keepNext/>
      <w:keepLines/>
      <w:spacing w:before="80" w:after="40"/>
      <w:outlineLvl w:val="4"/>
    </w:pPr>
    <w:rPr>
      <w:rFonts w:eastAsiaTheme="majorEastAsia" w:cstheme="majorBidi"/>
      <w:color w:val="00559A" w:themeColor="accent1" w:themeShade="BF"/>
    </w:rPr>
  </w:style>
  <w:style w:type="paragraph" w:styleId="berschrift6">
    <w:name w:val="heading 6"/>
    <w:basedOn w:val="Standard"/>
    <w:next w:val="Standard"/>
    <w:link w:val="berschrift6Zchn"/>
    <w:uiPriority w:val="9"/>
    <w:semiHidden/>
    <w:unhideWhenUsed/>
    <w:qFormat/>
    <w:rsid w:val="00A54659"/>
    <w:pPr>
      <w:keepNext/>
      <w:keepLines/>
      <w:spacing w:before="40" w:after="0"/>
      <w:outlineLvl w:val="5"/>
    </w:pPr>
    <w:rPr>
      <w:rFonts w:eastAsiaTheme="majorEastAsia" w:cstheme="majorBidi"/>
      <w:i/>
      <w:iCs/>
      <w:color w:val="848C8C" w:themeColor="text1" w:themeTint="A6"/>
    </w:rPr>
  </w:style>
  <w:style w:type="paragraph" w:styleId="berschrift7">
    <w:name w:val="heading 7"/>
    <w:basedOn w:val="Standard"/>
    <w:next w:val="Standard"/>
    <w:link w:val="berschrift7Zchn"/>
    <w:uiPriority w:val="9"/>
    <w:semiHidden/>
    <w:unhideWhenUsed/>
    <w:qFormat/>
    <w:rsid w:val="00A54659"/>
    <w:pPr>
      <w:keepNext/>
      <w:keepLines/>
      <w:spacing w:before="40" w:after="0"/>
      <w:outlineLvl w:val="6"/>
    </w:pPr>
    <w:rPr>
      <w:rFonts w:eastAsiaTheme="majorEastAsia" w:cstheme="majorBidi"/>
      <w:color w:val="848C8C" w:themeColor="text1" w:themeTint="A6"/>
    </w:rPr>
  </w:style>
  <w:style w:type="paragraph" w:styleId="berschrift8">
    <w:name w:val="heading 8"/>
    <w:basedOn w:val="Standard"/>
    <w:next w:val="Standard"/>
    <w:link w:val="berschrift8Zchn"/>
    <w:uiPriority w:val="9"/>
    <w:semiHidden/>
    <w:unhideWhenUsed/>
    <w:qFormat/>
    <w:rsid w:val="00A54659"/>
    <w:pPr>
      <w:keepNext/>
      <w:keepLines/>
      <w:spacing w:after="0"/>
      <w:outlineLvl w:val="7"/>
    </w:pPr>
    <w:rPr>
      <w:rFonts w:eastAsiaTheme="majorEastAsia" w:cstheme="majorBidi"/>
      <w:i/>
      <w:iCs/>
      <w:color w:val="616767" w:themeColor="text1" w:themeTint="D8"/>
    </w:rPr>
  </w:style>
  <w:style w:type="paragraph" w:styleId="berschrift9">
    <w:name w:val="heading 9"/>
    <w:basedOn w:val="Standard"/>
    <w:next w:val="Standard"/>
    <w:link w:val="berschrift9Zchn"/>
    <w:uiPriority w:val="9"/>
    <w:semiHidden/>
    <w:unhideWhenUsed/>
    <w:qFormat/>
    <w:rsid w:val="00A54659"/>
    <w:pPr>
      <w:keepNext/>
      <w:keepLines/>
      <w:spacing w:after="0"/>
      <w:outlineLvl w:val="8"/>
    </w:pPr>
    <w:rPr>
      <w:rFonts w:eastAsiaTheme="majorEastAsia" w:cstheme="majorBidi"/>
      <w:color w:val="61676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54659"/>
    <w:rPr>
      <w:rFonts w:asciiTheme="majorHAnsi" w:eastAsiaTheme="majorEastAsia" w:hAnsiTheme="majorHAnsi" w:cstheme="majorBidi"/>
      <w:color w:val="00559A" w:themeColor="accent1" w:themeShade="BF"/>
      <w:sz w:val="40"/>
      <w:szCs w:val="40"/>
    </w:rPr>
  </w:style>
  <w:style w:type="character" w:customStyle="1" w:styleId="berschrift2Zchn">
    <w:name w:val="Überschrift 2 Zchn"/>
    <w:basedOn w:val="Absatz-Standardschriftart"/>
    <w:link w:val="berschrift2"/>
    <w:uiPriority w:val="9"/>
    <w:semiHidden/>
    <w:rsid w:val="00A54659"/>
    <w:rPr>
      <w:rFonts w:asciiTheme="majorHAnsi" w:eastAsiaTheme="majorEastAsia" w:hAnsiTheme="majorHAnsi" w:cstheme="majorBidi"/>
      <w:color w:val="00559A" w:themeColor="accent1" w:themeShade="BF"/>
      <w:sz w:val="32"/>
      <w:szCs w:val="32"/>
    </w:rPr>
  </w:style>
  <w:style w:type="character" w:customStyle="1" w:styleId="berschrift3Zchn">
    <w:name w:val="Überschrift 3 Zchn"/>
    <w:basedOn w:val="Absatz-Standardschriftart"/>
    <w:link w:val="berschrift3"/>
    <w:uiPriority w:val="9"/>
    <w:semiHidden/>
    <w:rsid w:val="00A54659"/>
    <w:rPr>
      <w:rFonts w:eastAsiaTheme="majorEastAsia" w:cstheme="majorBidi"/>
      <w:color w:val="00559A" w:themeColor="accent1" w:themeShade="BF"/>
      <w:sz w:val="28"/>
      <w:szCs w:val="28"/>
    </w:rPr>
  </w:style>
  <w:style w:type="character" w:customStyle="1" w:styleId="berschrift4Zchn">
    <w:name w:val="Überschrift 4 Zchn"/>
    <w:basedOn w:val="Absatz-Standardschriftart"/>
    <w:link w:val="berschrift4"/>
    <w:uiPriority w:val="9"/>
    <w:semiHidden/>
    <w:rsid w:val="00A54659"/>
    <w:rPr>
      <w:rFonts w:eastAsiaTheme="majorEastAsia" w:cstheme="majorBidi"/>
      <w:i/>
      <w:iCs/>
      <w:color w:val="00559A" w:themeColor="accent1" w:themeShade="BF"/>
    </w:rPr>
  </w:style>
  <w:style w:type="character" w:customStyle="1" w:styleId="berschrift5Zchn">
    <w:name w:val="Überschrift 5 Zchn"/>
    <w:basedOn w:val="Absatz-Standardschriftart"/>
    <w:link w:val="berschrift5"/>
    <w:uiPriority w:val="9"/>
    <w:semiHidden/>
    <w:rsid w:val="00A54659"/>
    <w:rPr>
      <w:rFonts w:eastAsiaTheme="majorEastAsia" w:cstheme="majorBidi"/>
      <w:color w:val="00559A" w:themeColor="accent1" w:themeShade="BF"/>
    </w:rPr>
  </w:style>
  <w:style w:type="character" w:customStyle="1" w:styleId="berschrift6Zchn">
    <w:name w:val="Überschrift 6 Zchn"/>
    <w:basedOn w:val="Absatz-Standardschriftart"/>
    <w:link w:val="berschrift6"/>
    <w:uiPriority w:val="9"/>
    <w:semiHidden/>
    <w:rsid w:val="00A54659"/>
    <w:rPr>
      <w:rFonts w:eastAsiaTheme="majorEastAsia" w:cstheme="majorBidi"/>
      <w:i/>
      <w:iCs/>
      <w:color w:val="848C8C" w:themeColor="text1" w:themeTint="A6"/>
    </w:rPr>
  </w:style>
  <w:style w:type="character" w:customStyle="1" w:styleId="berschrift7Zchn">
    <w:name w:val="Überschrift 7 Zchn"/>
    <w:basedOn w:val="Absatz-Standardschriftart"/>
    <w:link w:val="berschrift7"/>
    <w:uiPriority w:val="9"/>
    <w:semiHidden/>
    <w:rsid w:val="00A54659"/>
    <w:rPr>
      <w:rFonts w:eastAsiaTheme="majorEastAsia" w:cstheme="majorBidi"/>
      <w:color w:val="848C8C" w:themeColor="text1" w:themeTint="A6"/>
    </w:rPr>
  </w:style>
  <w:style w:type="character" w:customStyle="1" w:styleId="berschrift8Zchn">
    <w:name w:val="Überschrift 8 Zchn"/>
    <w:basedOn w:val="Absatz-Standardschriftart"/>
    <w:link w:val="berschrift8"/>
    <w:uiPriority w:val="9"/>
    <w:semiHidden/>
    <w:rsid w:val="00A54659"/>
    <w:rPr>
      <w:rFonts w:eastAsiaTheme="majorEastAsia" w:cstheme="majorBidi"/>
      <w:i/>
      <w:iCs/>
      <w:color w:val="616767" w:themeColor="text1" w:themeTint="D8"/>
    </w:rPr>
  </w:style>
  <w:style w:type="character" w:customStyle="1" w:styleId="berschrift9Zchn">
    <w:name w:val="Überschrift 9 Zchn"/>
    <w:basedOn w:val="Absatz-Standardschriftart"/>
    <w:link w:val="berschrift9"/>
    <w:uiPriority w:val="9"/>
    <w:semiHidden/>
    <w:rsid w:val="00A54659"/>
    <w:rPr>
      <w:rFonts w:eastAsiaTheme="majorEastAsia" w:cstheme="majorBidi"/>
      <w:color w:val="616767" w:themeColor="text1" w:themeTint="D8"/>
    </w:rPr>
  </w:style>
  <w:style w:type="paragraph" w:styleId="Titel">
    <w:name w:val="Title"/>
    <w:basedOn w:val="Standard"/>
    <w:next w:val="Standard"/>
    <w:link w:val="TitelZchn"/>
    <w:uiPriority w:val="10"/>
    <w:qFormat/>
    <w:rsid w:val="00A546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5465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54659"/>
    <w:pPr>
      <w:numPr>
        <w:ilvl w:val="1"/>
      </w:numPr>
    </w:pPr>
    <w:rPr>
      <w:rFonts w:eastAsiaTheme="majorEastAsia" w:cstheme="majorBidi"/>
      <w:color w:val="848C8C" w:themeColor="text1" w:themeTint="A6"/>
      <w:spacing w:val="15"/>
      <w:sz w:val="28"/>
      <w:szCs w:val="28"/>
    </w:rPr>
  </w:style>
  <w:style w:type="character" w:customStyle="1" w:styleId="UntertitelZchn">
    <w:name w:val="Untertitel Zchn"/>
    <w:basedOn w:val="Absatz-Standardschriftart"/>
    <w:link w:val="Untertitel"/>
    <w:uiPriority w:val="11"/>
    <w:rsid w:val="00A54659"/>
    <w:rPr>
      <w:rFonts w:eastAsiaTheme="majorEastAsia" w:cstheme="majorBidi"/>
      <w:color w:val="848C8C" w:themeColor="text1" w:themeTint="A6"/>
      <w:spacing w:val="15"/>
      <w:sz w:val="28"/>
      <w:szCs w:val="28"/>
    </w:rPr>
  </w:style>
  <w:style w:type="paragraph" w:styleId="Zitat">
    <w:name w:val="Quote"/>
    <w:basedOn w:val="Standard"/>
    <w:next w:val="Standard"/>
    <w:link w:val="ZitatZchn"/>
    <w:uiPriority w:val="29"/>
    <w:qFormat/>
    <w:rsid w:val="00A54659"/>
    <w:pPr>
      <w:spacing w:before="160"/>
      <w:jc w:val="center"/>
    </w:pPr>
    <w:rPr>
      <w:i/>
      <w:iCs/>
      <w:color w:val="727A7A" w:themeColor="text1" w:themeTint="BF"/>
    </w:rPr>
  </w:style>
  <w:style w:type="character" w:customStyle="1" w:styleId="ZitatZchn">
    <w:name w:val="Zitat Zchn"/>
    <w:basedOn w:val="Absatz-Standardschriftart"/>
    <w:link w:val="Zitat"/>
    <w:uiPriority w:val="29"/>
    <w:rsid w:val="00A54659"/>
    <w:rPr>
      <w:i/>
      <w:iCs/>
      <w:color w:val="727A7A" w:themeColor="text1" w:themeTint="BF"/>
    </w:rPr>
  </w:style>
  <w:style w:type="paragraph" w:styleId="Listenabsatz">
    <w:name w:val="List Paragraph"/>
    <w:basedOn w:val="Standard"/>
    <w:uiPriority w:val="34"/>
    <w:qFormat/>
    <w:rsid w:val="00A54659"/>
    <w:pPr>
      <w:ind w:left="720"/>
      <w:contextualSpacing/>
    </w:pPr>
  </w:style>
  <w:style w:type="character" w:styleId="IntensiveHervorhebung">
    <w:name w:val="Intense Emphasis"/>
    <w:basedOn w:val="Absatz-Standardschriftart"/>
    <w:uiPriority w:val="21"/>
    <w:qFormat/>
    <w:rsid w:val="00A54659"/>
    <w:rPr>
      <w:i/>
      <w:iCs/>
      <w:color w:val="00559A" w:themeColor="accent1" w:themeShade="BF"/>
    </w:rPr>
  </w:style>
  <w:style w:type="paragraph" w:styleId="IntensivesZitat">
    <w:name w:val="Intense Quote"/>
    <w:basedOn w:val="Standard"/>
    <w:next w:val="Standard"/>
    <w:link w:val="IntensivesZitatZchn"/>
    <w:uiPriority w:val="30"/>
    <w:qFormat/>
    <w:rsid w:val="00A54659"/>
    <w:pPr>
      <w:pBdr>
        <w:top w:val="single" w:sz="4" w:space="10" w:color="00559A" w:themeColor="accent1" w:themeShade="BF"/>
        <w:bottom w:val="single" w:sz="4" w:space="10" w:color="00559A" w:themeColor="accent1" w:themeShade="BF"/>
      </w:pBdr>
      <w:spacing w:before="360" w:after="360"/>
      <w:ind w:left="864" w:right="864"/>
      <w:jc w:val="center"/>
    </w:pPr>
    <w:rPr>
      <w:i/>
      <w:iCs/>
      <w:color w:val="00559A" w:themeColor="accent1" w:themeShade="BF"/>
    </w:rPr>
  </w:style>
  <w:style w:type="character" w:customStyle="1" w:styleId="IntensivesZitatZchn">
    <w:name w:val="Intensives Zitat Zchn"/>
    <w:basedOn w:val="Absatz-Standardschriftart"/>
    <w:link w:val="IntensivesZitat"/>
    <w:uiPriority w:val="30"/>
    <w:rsid w:val="00A54659"/>
    <w:rPr>
      <w:i/>
      <w:iCs/>
      <w:color w:val="00559A" w:themeColor="accent1" w:themeShade="BF"/>
    </w:rPr>
  </w:style>
  <w:style w:type="character" w:styleId="IntensiverVerweis">
    <w:name w:val="Intense Reference"/>
    <w:basedOn w:val="Absatz-Standardschriftart"/>
    <w:uiPriority w:val="32"/>
    <w:qFormat/>
    <w:rsid w:val="00A54659"/>
    <w:rPr>
      <w:b/>
      <w:bCs/>
      <w:smallCaps/>
      <w:color w:val="00559A" w:themeColor="accent1" w:themeShade="BF"/>
      <w:spacing w:val="5"/>
    </w:rPr>
  </w:style>
  <w:style w:type="table" w:styleId="Tabellenraster">
    <w:name w:val="Table Grid"/>
    <w:basedOn w:val="NormaleTabelle"/>
    <w:uiPriority w:val="39"/>
    <w:rsid w:val="00D028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nhideWhenUsed/>
    <w:rsid w:val="00B90AA1"/>
    <w:pPr>
      <w:tabs>
        <w:tab w:val="center" w:pos="4536"/>
        <w:tab w:val="right" w:pos="9072"/>
      </w:tabs>
      <w:spacing w:after="0" w:line="240" w:lineRule="auto"/>
    </w:pPr>
  </w:style>
  <w:style w:type="character" w:customStyle="1" w:styleId="KopfzeileZchn">
    <w:name w:val="Kopfzeile Zchn"/>
    <w:basedOn w:val="Absatz-Standardschriftart"/>
    <w:link w:val="Kopfzeile"/>
    <w:qFormat/>
    <w:rsid w:val="00B90AA1"/>
  </w:style>
  <w:style w:type="paragraph" w:styleId="Fuzeile">
    <w:name w:val="footer"/>
    <w:basedOn w:val="Standard"/>
    <w:link w:val="FuzeileZchn"/>
    <w:uiPriority w:val="99"/>
    <w:unhideWhenUsed/>
    <w:rsid w:val="00B90AA1"/>
    <w:pPr>
      <w:tabs>
        <w:tab w:val="center" w:pos="4536"/>
        <w:tab w:val="right" w:pos="9072"/>
      </w:tabs>
      <w:spacing w:after="0" w:line="240" w:lineRule="auto"/>
    </w:pPr>
  </w:style>
  <w:style w:type="character" w:customStyle="1" w:styleId="FuzeileZchn">
    <w:name w:val="Fußzeile Zchn"/>
    <w:basedOn w:val="Absatz-Standardschriftart"/>
    <w:link w:val="Fuzeile"/>
    <w:uiPriority w:val="99"/>
    <w:qFormat/>
    <w:rsid w:val="00B90AA1"/>
  </w:style>
  <w:style w:type="character" w:styleId="Kommentarzeichen">
    <w:name w:val="annotation reference"/>
    <w:basedOn w:val="Absatz-Standardschriftart"/>
    <w:uiPriority w:val="99"/>
    <w:semiHidden/>
    <w:unhideWhenUsed/>
    <w:rsid w:val="001A3E60"/>
    <w:rPr>
      <w:sz w:val="16"/>
      <w:szCs w:val="16"/>
    </w:rPr>
  </w:style>
  <w:style w:type="paragraph" w:styleId="Kommentartext">
    <w:name w:val="annotation text"/>
    <w:basedOn w:val="Standard"/>
    <w:link w:val="KommentartextZchn"/>
    <w:uiPriority w:val="99"/>
    <w:unhideWhenUsed/>
    <w:rsid w:val="001A3E60"/>
    <w:pPr>
      <w:spacing w:line="240" w:lineRule="auto"/>
    </w:pPr>
    <w:rPr>
      <w:sz w:val="20"/>
      <w:szCs w:val="20"/>
    </w:rPr>
  </w:style>
  <w:style w:type="character" w:customStyle="1" w:styleId="KommentartextZchn">
    <w:name w:val="Kommentartext Zchn"/>
    <w:basedOn w:val="Absatz-Standardschriftart"/>
    <w:link w:val="Kommentartext"/>
    <w:uiPriority w:val="99"/>
    <w:rsid w:val="001A3E60"/>
    <w:rPr>
      <w:sz w:val="20"/>
      <w:szCs w:val="20"/>
    </w:rPr>
  </w:style>
  <w:style w:type="paragraph" w:styleId="Kommentarthema">
    <w:name w:val="annotation subject"/>
    <w:basedOn w:val="Kommentartext"/>
    <w:next w:val="Kommentartext"/>
    <w:link w:val="KommentarthemaZchn"/>
    <w:uiPriority w:val="99"/>
    <w:semiHidden/>
    <w:unhideWhenUsed/>
    <w:rsid w:val="001A3E60"/>
    <w:rPr>
      <w:b/>
      <w:bCs/>
    </w:rPr>
  </w:style>
  <w:style w:type="character" w:customStyle="1" w:styleId="KommentarthemaZchn">
    <w:name w:val="Kommentarthema Zchn"/>
    <w:basedOn w:val="KommentartextZchn"/>
    <w:link w:val="Kommentarthema"/>
    <w:uiPriority w:val="99"/>
    <w:semiHidden/>
    <w:rsid w:val="001A3E60"/>
    <w:rPr>
      <w:b/>
      <w:bCs/>
      <w:sz w:val="20"/>
      <w:szCs w:val="20"/>
    </w:rPr>
  </w:style>
  <w:style w:type="paragraph" w:styleId="berarbeitung">
    <w:name w:val="Revision"/>
    <w:hidden/>
    <w:uiPriority w:val="99"/>
    <w:semiHidden/>
    <w:rsid w:val="00D025FF"/>
    <w:pPr>
      <w:spacing w:after="0" w:line="240" w:lineRule="auto"/>
    </w:pPr>
  </w:style>
  <w:style w:type="character" w:styleId="Erwhnung">
    <w:name w:val="Mention"/>
    <w:basedOn w:val="Absatz-Standardschriftart"/>
    <w:uiPriority w:val="99"/>
    <w:unhideWhenUsed/>
    <w:rsid w:val="00E032A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Forvis_Mazars_Farben">
      <a:dk1>
        <a:srgbClr val="464B4B"/>
      </a:dk1>
      <a:lt1>
        <a:srgbClr val="FFFFFF"/>
      </a:lt1>
      <a:dk2>
        <a:srgbClr val="0072CE"/>
      </a:dk2>
      <a:lt2>
        <a:srgbClr val="F4F4F4"/>
      </a:lt2>
      <a:accent1>
        <a:srgbClr val="0072CE"/>
      </a:accent1>
      <a:accent2>
        <a:srgbClr val="4AA7B7"/>
      </a:accent2>
      <a:accent3>
        <a:srgbClr val="171C8F"/>
      </a:accent3>
      <a:accent4>
        <a:srgbClr val="27B093"/>
      </a:accent4>
      <a:accent5>
        <a:srgbClr val="B1B3B3"/>
      </a:accent5>
      <a:accent6>
        <a:srgbClr val="5D93CD"/>
      </a:accent6>
      <a:hlink>
        <a:srgbClr val="5D93CD"/>
      </a:hlink>
      <a:folHlink>
        <a:srgbClr val="84ADD8"/>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a9e2297-9922-49cb-881b-245196f956aa">
      <Terms xmlns="http://schemas.microsoft.com/office/infopath/2007/PartnerControls"/>
    </lcf76f155ced4ddcb4097134ff3c332f>
    <TaxCatchAll xmlns="834196fb-0e69-401a-9e1d-deaae8548da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5663726F9A4814D8A39DC31CB7718CF" ma:contentTypeVersion="12" ma:contentTypeDescription="Ein neues Dokument erstellen." ma:contentTypeScope="" ma:versionID="85bb63c9bd1c67f025b4507acf37e1f9">
  <xsd:schema xmlns:xsd="http://www.w3.org/2001/XMLSchema" xmlns:xs="http://www.w3.org/2001/XMLSchema" xmlns:p="http://schemas.microsoft.com/office/2006/metadata/properties" xmlns:ns2="7a9e2297-9922-49cb-881b-245196f956aa" xmlns:ns3="834196fb-0e69-401a-9e1d-deaae8548da6" targetNamespace="http://schemas.microsoft.com/office/2006/metadata/properties" ma:root="true" ma:fieldsID="7e088d3639049cb6cbbc6984c557f34c" ns2:_="" ns3:_="">
    <xsd:import namespace="7a9e2297-9922-49cb-881b-245196f956aa"/>
    <xsd:import namespace="834196fb-0e69-401a-9e1d-deaae8548d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9e2297-9922-49cb-881b-245196f95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7ae1db8-ea2a-425b-aa67-78d291517da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4196fb-0e69-401a-9e1d-deaae8548da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fd443e8-274a-41ec-badb-dbf92079ad40}" ma:internalName="TaxCatchAll" ma:showField="CatchAllData" ma:web="834196fb-0e69-401a-9e1d-deaae8548d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70A17-1AF5-4F6B-BB18-71B38E530A97}">
  <ds:schemaRefs>
    <ds:schemaRef ds:uri="http://schemas.microsoft.com/sharepoint/v3/contenttype/forms"/>
  </ds:schemaRefs>
</ds:datastoreItem>
</file>

<file path=customXml/itemProps2.xml><?xml version="1.0" encoding="utf-8"?>
<ds:datastoreItem xmlns:ds="http://schemas.openxmlformats.org/officeDocument/2006/customXml" ds:itemID="{153D8316-BB83-4B10-8D56-2567C3622F1D}">
  <ds:schemaRefs>
    <ds:schemaRef ds:uri="http://schemas.microsoft.com/office/2006/metadata/properties"/>
    <ds:schemaRef ds:uri="http://schemas.microsoft.com/office/infopath/2007/PartnerControls"/>
    <ds:schemaRef ds:uri="7a9e2297-9922-49cb-881b-245196f956aa"/>
    <ds:schemaRef ds:uri="834196fb-0e69-401a-9e1d-deaae8548da6"/>
  </ds:schemaRefs>
</ds:datastoreItem>
</file>

<file path=customXml/itemProps3.xml><?xml version="1.0" encoding="utf-8"?>
<ds:datastoreItem xmlns:ds="http://schemas.openxmlformats.org/officeDocument/2006/customXml" ds:itemID="{E608D376-143C-4C41-B016-3CEA31A6E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9e2297-9922-49cb-881b-245196f956aa"/>
    <ds:schemaRef ds:uri="834196fb-0e69-401a-9e1d-deaae8548d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758769-946B-42B6-B7BE-7218E2929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1699</Words>
  <Characters>10707</Characters>
  <Application>Microsoft Office Word</Application>
  <DocSecurity>0</DocSecurity>
  <Lines>89</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Forvis Mazars</dc:creator>
  <cp:keywords/>
  <dc:description/>
  <cp:lastModifiedBy>Paul Plümpe</cp:lastModifiedBy>
  <cp:revision>186</cp:revision>
  <dcterms:created xsi:type="dcterms:W3CDTF">2026-06-15T12:26:00Z</dcterms:created>
  <dcterms:modified xsi:type="dcterms:W3CDTF">2026-07-03T12:24:00Z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0x01010095663726F9A4814D8A39DC31CB7718CF</vt:lpwstr>
  </property>
  <property fmtid="{D5CDD505-2E9C-101B-9397-08002B2CF9AE}" pid="3" name="MediaServiceImageTags">
    <vt:lpwstr/>
  </property>
</Properties>
</file>